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03318">
      <w:pPr>
        <w:autoSpaceDE w:val="0"/>
        <w:autoSpaceDN w:val="0"/>
        <w:adjustRightInd w:val="0"/>
        <w:snapToGrid w:val="0"/>
        <w:spacing w:line="360" w:lineRule="auto"/>
        <w:jc w:val="both"/>
        <w:rPr>
          <w:rFonts w:hint="eastAsia" w:ascii="宋体" w:hAnsi="宋体"/>
          <w:b/>
          <w:bCs/>
          <w:kern w:val="0"/>
          <w:sz w:val="48"/>
          <w:szCs w:val="48"/>
          <w:u w:val="none"/>
          <w:lang w:eastAsia="zh-CN"/>
        </w:rPr>
      </w:pPr>
      <w:bookmarkStart w:id="0" w:name="_Toc22183"/>
      <w:bookmarkStart w:id="1" w:name="_Toc224103298"/>
      <w:bookmarkStart w:id="2" w:name="_Toc287607727"/>
      <w:bookmarkStart w:id="3" w:name="_Toc277082535"/>
      <w:bookmarkStart w:id="4" w:name="_Toc22260"/>
      <w:bookmarkStart w:id="5" w:name="_Toc5017"/>
    </w:p>
    <w:p w14:paraId="413975E1">
      <w:pPr>
        <w:autoSpaceDE w:val="0"/>
        <w:autoSpaceDN w:val="0"/>
        <w:adjustRightInd w:val="0"/>
        <w:snapToGrid w:val="0"/>
        <w:spacing w:line="360" w:lineRule="auto"/>
        <w:jc w:val="center"/>
        <w:rPr>
          <w:rFonts w:ascii="仿宋_GB2312" w:eastAsia="仿宋_GB2312" w:cs="MingLiU"/>
          <w:b w:val="0"/>
          <w:bCs w:val="0"/>
          <w:color w:val="auto"/>
          <w:kern w:val="0"/>
          <w:sz w:val="48"/>
          <w:szCs w:val="48"/>
          <w:highlight w:val="none"/>
          <w:u w:val="none"/>
        </w:rPr>
      </w:pPr>
      <w:r>
        <w:rPr>
          <w:rFonts w:hint="eastAsia" w:ascii="宋体" w:hAnsi="宋体"/>
          <w:b/>
          <w:bCs/>
          <w:kern w:val="0"/>
          <w:sz w:val="48"/>
          <w:szCs w:val="48"/>
          <w:u w:val="none"/>
          <w:lang w:eastAsia="zh-CN"/>
        </w:rPr>
        <w:t>蒲吕滨江新城商品房外墙脱落排危整治项目（第二次）</w:t>
      </w:r>
    </w:p>
    <w:p w14:paraId="36CAADC1">
      <w:pPr>
        <w:autoSpaceDE w:val="0"/>
        <w:autoSpaceDN w:val="0"/>
        <w:adjustRightInd w:val="0"/>
        <w:snapToGrid w:val="0"/>
        <w:spacing w:line="360" w:lineRule="auto"/>
        <w:jc w:val="center"/>
        <w:rPr>
          <w:rFonts w:ascii="仿宋_GB2312" w:eastAsia="仿宋_GB2312" w:cs="MingLiU"/>
          <w:color w:val="auto"/>
          <w:kern w:val="0"/>
          <w:sz w:val="20"/>
          <w:highlight w:val="none"/>
        </w:rPr>
      </w:pPr>
    </w:p>
    <w:p w14:paraId="48009A95">
      <w:pPr>
        <w:autoSpaceDE w:val="0"/>
        <w:autoSpaceDN w:val="0"/>
        <w:adjustRightInd w:val="0"/>
        <w:snapToGrid w:val="0"/>
        <w:spacing w:line="360" w:lineRule="auto"/>
        <w:jc w:val="center"/>
        <w:rPr>
          <w:rFonts w:ascii="仿宋_GB2312" w:eastAsia="仿宋_GB2312" w:cs="MingLiU"/>
          <w:color w:val="auto"/>
          <w:kern w:val="0"/>
          <w:sz w:val="20"/>
          <w:highlight w:val="none"/>
        </w:rPr>
      </w:pPr>
    </w:p>
    <w:p w14:paraId="211D2103">
      <w:pPr>
        <w:autoSpaceDE w:val="0"/>
        <w:autoSpaceDN w:val="0"/>
        <w:adjustRightInd w:val="0"/>
        <w:snapToGrid w:val="0"/>
        <w:spacing w:line="360" w:lineRule="auto"/>
        <w:jc w:val="center"/>
        <w:rPr>
          <w:rFonts w:ascii="仿宋_GB2312" w:eastAsia="仿宋_GB2312" w:cs="MingLiU"/>
          <w:color w:val="auto"/>
          <w:kern w:val="0"/>
          <w:sz w:val="20"/>
          <w:highlight w:val="none"/>
        </w:rPr>
      </w:pPr>
    </w:p>
    <w:p w14:paraId="1D49AF34">
      <w:pPr>
        <w:pStyle w:val="2"/>
        <w:rPr>
          <w:rFonts w:ascii="仿宋_GB2312" w:eastAsia="仿宋_GB2312" w:cs="MingLiU"/>
          <w:color w:val="auto"/>
          <w:kern w:val="0"/>
          <w:sz w:val="20"/>
          <w:highlight w:val="none"/>
        </w:rPr>
      </w:pPr>
    </w:p>
    <w:p w14:paraId="1FE6B19B">
      <w:pPr>
        <w:rPr>
          <w:rFonts w:ascii="仿宋_GB2312" w:eastAsia="仿宋_GB2312" w:cs="MingLiU"/>
          <w:color w:val="auto"/>
          <w:kern w:val="0"/>
          <w:sz w:val="20"/>
          <w:highlight w:val="none"/>
        </w:rPr>
      </w:pPr>
    </w:p>
    <w:p w14:paraId="60952242">
      <w:pPr>
        <w:pStyle w:val="2"/>
      </w:pPr>
    </w:p>
    <w:p w14:paraId="2443104A">
      <w:pPr>
        <w:autoSpaceDE w:val="0"/>
        <w:autoSpaceDN w:val="0"/>
        <w:adjustRightInd w:val="0"/>
        <w:snapToGrid w:val="0"/>
        <w:spacing w:line="360" w:lineRule="auto"/>
        <w:jc w:val="both"/>
        <w:rPr>
          <w:rFonts w:ascii="仿宋_GB2312" w:eastAsia="仿宋_GB2312" w:cs="MingLiU"/>
          <w:color w:val="auto"/>
          <w:kern w:val="0"/>
          <w:sz w:val="20"/>
          <w:highlight w:val="none"/>
        </w:rPr>
      </w:pPr>
    </w:p>
    <w:p w14:paraId="185AEF01">
      <w:pPr>
        <w:autoSpaceDE w:val="0"/>
        <w:autoSpaceDN w:val="0"/>
        <w:adjustRightInd w:val="0"/>
        <w:snapToGrid w:val="0"/>
        <w:spacing w:line="360" w:lineRule="auto"/>
        <w:rPr>
          <w:rFonts w:ascii="仿宋_GB2312" w:eastAsia="仿宋_GB2312" w:cs="MingLiU"/>
          <w:color w:val="auto"/>
          <w:kern w:val="0"/>
          <w:sz w:val="20"/>
          <w:highlight w:val="none"/>
        </w:rPr>
      </w:pPr>
    </w:p>
    <w:p w14:paraId="4D889F77">
      <w:pPr>
        <w:autoSpaceDE w:val="0"/>
        <w:autoSpaceDN w:val="0"/>
        <w:adjustRightInd w:val="0"/>
        <w:snapToGrid w:val="0"/>
        <w:spacing w:line="360" w:lineRule="auto"/>
        <w:jc w:val="center"/>
        <w:rPr>
          <w:rFonts w:ascii="宋体" w:hAnsi="宋体" w:cs="MingLiU"/>
          <w:b/>
          <w:color w:val="auto"/>
          <w:kern w:val="0"/>
          <w:sz w:val="84"/>
          <w:szCs w:val="44"/>
          <w:highlight w:val="none"/>
        </w:rPr>
      </w:pPr>
      <w:r>
        <w:rPr>
          <w:rFonts w:hint="eastAsia" w:ascii="宋体" w:hAnsi="宋体" w:cs="MingLiU"/>
          <w:b/>
          <w:color w:val="auto"/>
          <w:kern w:val="0"/>
          <w:sz w:val="84"/>
          <w:szCs w:val="44"/>
          <w:highlight w:val="none"/>
        </w:rPr>
        <w:t>竞争性比选文件</w:t>
      </w:r>
    </w:p>
    <w:p w14:paraId="357D8457">
      <w:pPr>
        <w:autoSpaceDE w:val="0"/>
        <w:autoSpaceDN w:val="0"/>
        <w:adjustRightInd w:val="0"/>
        <w:snapToGrid w:val="0"/>
        <w:spacing w:line="360" w:lineRule="auto"/>
        <w:jc w:val="left"/>
        <w:rPr>
          <w:rFonts w:ascii="仿宋_GB2312" w:eastAsia="仿宋_GB2312" w:cs="MingLiU"/>
          <w:color w:val="auto"/>
          <w:kern w:val="0"/>
          <w:sz w:val="20"/>
          <w:highlight w:val="none"/>
        </w:rPr>
      </w:pPr>
    </w:p>
    <w:p w14:paraId="1404C271">
      <w:pPr>
        <w:autoSpaceDE w:val="0"/>
        <w:autoSpaceDN w:val="0"/>
        <w:adjustRightInd w:val="0"/>
        <w:snapToGrid w:val="0"/>
        <w:spacing w:line="360" w:lineRule="auto"/>
        <w:jc w:val="left"/>
        <w:rPr>
          <w:rFonts w:ascii="仿宋_GB2312" w:eastAsia="仿宋_GB2312" w:cs="MingLiU"/>
          <w:color w:val="auto"/>
          <w:kern w:val="0"/>
          <w:sz w:val="20"/>
          <w:highlight w:val="none"/>
        </w:rPr>
      </w:pPr>
    </w:p>
    <w:p w14:paraId="6E912821">
      <w:pPr>
        <w:autoSpaceDE w:val="0"/>
        <w:autoSpaceDN w:val="0"/>
        <w:adjustRightInd w:val="0"/>
        <w:snapToGrid w:val="0"/>
        <w:spacing w:line="360" w:lineRule="auto"/>
        <w:jc w:val="left"/>
        <w:rPr>
          <w:rFonts w:ascii="仿宋_GB2312" w:eastAsia="仿宋_GB2312" w:cs="MingLiU"/>
          <w:color w:val="auto"/>
          <w:kern w:val="0"/>
          <w:sz w:val="20"/>
          <w:highlight w:val="none"/>
        </w:rPr>
      </w:pPr>
    </w:p>
    <w:p w14:paraId="58500DA7">
      <w:pPr>
        <w:pStyle w:val="2"/>
        <w:rPr>
          <w:rFonts w:ascii="仿宋_GB2312" w:eastAsia="仿宋_GB2312" w:cs="MingLiU"/>
          <w:color w:val="auto"/>
          <w:kern w:val="0"/>
          <w:sz w:val="20"/>
          <w:highlight w:val="none"/>
        </w:rPr>
      </w:pPr>
    </w:p>
    <w:p w14:paraId="2C532A9A">
      <w:pPr>
        <w:rPr>
          <w:rFonts w:ascii="仿宋_GB2312" w:eastAsia="仿宋_GB2312" w:cs="MingLiU"/>
          <w:color w:val="auto"/>
          <w:kern w:val="0"/>
          <w:sz w:val="20"/>
          <w:highlight w:val="none"/>
        </w:rPr>
      </w:pPr>
    </w:p>
    <w:p w14:paraId="0B9B5E0E">
      <w:pPr>
        <w:tabs>
          <w:tab w:val="left" w:pos="6219"/>
        </w:tabs>
        <w:autoSpaceDE w:val="0"/>
        <w:autoSpaceDN w:val="0"/>
        <w:adjustRightInd w:val="0"/>
        <w:snapToGrid w:val="0"/>
        <w:spacing w:line="360" w:lineRule="auto"/>
        <w:jc w:val="both"/>
        <w:rPr>
          <w:rFonts w:hint="eastAsia" w:ascii="宋体" w:hAnsi="宋体"/>
          <w:b/>
          <w:color w:val="auto"/>
          <w:sz w:val="32"/>
          <w:highlight w:val="none"/>
        </w:rPr>
      </w:pPr>
    </w:p>
    <w:p w14:paraId="203C0D3F">
      <w:pPr>
        <w:tabs>
          <w:tab w:val="left" w:pos="6219"/>
        </w:tabs>
        <w:autoSpaceDE w:val="0"/>
        <w:autoSpaceDN w:val="0"/>
        <w:adjustRightInd w:val="0"/>
        <w:snapToGrid w:val="0"/>
        <w:spacing w:line="360" w:lineRule="auto"/>
        <w:ind w:firstLine="301" w:firstLineChars="100"/>
        <w:jc w:val="both"/>
        <w:rPr>
          <w:rFonts w:ascii="宋体" w:hAnsi="宋体"/>
          <w:b/>
          <w:w w:val="99"/>
          <w:kern w:val="0"/>
          <w:sz w:val="30"/>
          <w:szCs w:val="30"/>
        </w:rPr>
      </w:pPr>
      <w:r>
        <w:rPr>
          <w:rFonts w:hint="eastAsia" w:ascii="宋体" w:hAnsi="宋体"/>
          <w:b/>
          <w:color w:val="auto"/>
          <w:sz w:val="30"/>
          <w:szCs w:val="30"/>
          <w:highlight w:val="none"/>
        </w:rPr>
        <w:t>比   选   人：</w:t>
      </w:r>
      <w:r>
        <w:rPr>
          <w:rFonts w:hint="eastAsia" w:ascii="宋体" w:hAnsi="宋体"/>
          <w:b/>
          <w:sz w:val="30"/>
          <w:szCs w:val="30"/>
          <w:u w:val="single"/>
          <w:lang w:eastAsia="zh-CN"/>
        </w:rPr>
        <w:t>重庆绅鹏实业开发有限公司</w:t>
      </w:r>
      <w:r>
        <w:rPr>
          <w:rFonts w:ascii="宋体" w:hAnsi="宋体"/>
          <w:b/>
          <w:w w:val="99"/>
          <w:kern w:val="0"/>
          <w:sz w:val="30"/>
          <w:szCs w:val="30"/>
        </w:rPr>
        <w:t>（盖章）</w:t>
      </w:r>
    </w:p>
    <w:p w14:paraId="7DE4D80C">
      <w:pPr>
        <w:tabs>
          <w:tab w:val="left" w:pos="6219"/>
        </w:tabs>
        <w:autoSpaceDE w:val="0"/>
        <w:autoSpaceDN w:val="0"/>
        <w:adjustRightInd w:val="0"/>
        <w:snapToGrid w:val="0"/>
        <w:spacing w:line="360" w:lineRule="auto"/>
        <w:jc w:val="left"/>
        <w:rPr>
          <w:rFonts w:hint="eastAsia" w:ascii="宋体" w:hAnsi="宋体"/>
          <w:b/>
          <w:color w:val="auto"/>
          <w:sz w:val="30"/>
          <w:szCs w:val="30"/>
          <w:highlight w:val="none"/>
        </w:rPr>
      </w:pPr>
    </w:p>
    <w:p w14:paraId="7FA86967">
      <w:pPr>
        <w:tabs>
          <w:tab w:val="left" w:pos="6219"/>
        </w:tabs>
        <w:autoSpaceDE w:val="0"/>
        <w:autoSpaceDN w:val="0"/>
        <w:adjustRightInd w:val="0"/>
        <w:snapToGrid w:val="0"/>
        <w:spacing w:line="360" w:lineRule="auto"/>
        <w:ind w:firstLine="301" w:firstLineChars="100"/>
        <w:jc w:val="left"/>
        <w:rPr>
          <w:rFonts w:hint="eastAsia" w:ascii="宋体" w:hAnsi="宋体"/>
          <w:b/>
          <w:color w:val="auto"/>
          <w:sz w:val="30"/>
          <w:szCs w:val="30"/>
          <w:highlight w:val="none"/>
          <w:u w:val="single"/>
        </w:rPr>
      </w:pPr>
      <w:r>
        <w:rPr>
          <w:rFonts w:hint="eastAsia" w:ascii="宋体" w:hAnsi="宋体"/>
          <w:b/>
          <w:color w:val="auto"/>
          <w:sz w:val="30"/>
          <w:szCs w:val="30"/>
          <w:highlight w:val="none"/>
        </w:rPr>
        <w:t>比选代理机构：</w:t>
      </w:r>
      <w:r>
        <w:rPr>
          <w:rFonts w:hint="eastAsia" w:ascii="宋体" w:hAnsi="宋体"/>
          <w:b/>
          <w:spacing w:val="8"/>
          <w:kern w:val="0"/>
          <w:sz w:val="30"/>
          <w:szCs w:val="30"/>
          <w:u w:val="single"/>
          <w:lang w:val="en-US" w:eastAsia="zh-CN"/>
        </w:rPr>
        <w:t>重庆铜生科技有限公司</w:t>
      </w:r>
      <w:r>
        <w:rPr>
          <w:rFonts w:ascii="宋体" w:hAnsi="宋体"/>
          <w:b/>
          <w:w w:val="99"/>
          <w:kern w:val="0"/>
          <w:sz w:val="30"/>
          <w:szCs w:val="30"/>
        </w:rPr>
        <w:t>（盖章）</w:t>
      </w:r>
    </w:p>
    <w:p w14:paraId="5B823D69">
      <w:pPr>
        <w:autoSpaceDE w:val="0"/>
        <w:autoSpaceDN w:val="0"/>
        <w:adjustRightInd w:val="0"/>
        <w:snapToGrid w:val="0"/>
        <w:spacing w:line="800" w:lineRule="exact"/>
        <w:jc w:val="center"/>
        <w:rPr>
          <w:rFonts w:hint="eastAsia" w:ascii="宋体" w:hAnsi="宋体" w:cs="MingLiU"/>
          <w:b/>
          <w:color w:val="auto"/>
          <w:kern w:val="0"/>
          <w:sz w:val="32"/>
          <w:szCs w:val="32"/>
          <w:highlight w:val="none"/>
        </w:rPr>
      </w:pPr>
    </w:p>
    <w:p w14:paraId="6DF84D8B">
      <w:pPr>
        <w:autoSpaceDE w:val="0"/>
        <w:autoSpaceDN w:val="0"/>
        <w:adjustRightInd w:val="0"/>
        <w:snapToGrid w:val="0"/>
        <w:spacing w:line="800" w:lineRule="exact"/>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二〇二</w:t>
      </w:r>
      <w:r>
        <w:rPr>
          <w:rFonts w:hint="eastAsia" w:ascii="宋体" w:hAnsi="宋体" w:cs="MingLiU"/>
          <w:b/>
          <w:color w:val="auto"/>
          <w:kern w:val="0"/>
          <w:sz w:val="32"/>
          <w:szCs w:val="32"/>
          <w:highlight w:val="none"/>
          <w:lang w:val="en-US" w:eastAsia="zh-CN"/>
        </w:rPr>
        <w:t>五</w:t>
      </w:r>
      <w:r>
        <w:rPr>
          <w:rFonts w:hint="eastAsia" w:ascii="宋体" w:hAnsi="宋体" w:cs="MingLiU"/>
          <w:b/>
          <w:color w:val="auto"/>
          <w:kern w:val="0"/>
          <w:sz w:val="32"/>
          <w:szCs w:val="32"/>
          <w:highlight w:val="none"/>
        </w:rPr>
        <w:t>年</w:t>
      </w:r>
      <w:r>
        <w:rPr>
          <w:rFonts w:hint="eastAsia" w:ascii="宋体" w:hAnsi="宋体" w:cs="MingLiU"/>
          <w:b/>
          <w:color w:val="auto"/>
          <w:kern w:val="0"/>
          <w:sz w:val="32"/>
          <w:szCs w:val="32"/>
          <w:highlight w:val="none"/>
          <w:lang w:val="en-US" w:eastAsia="zh-CN"/>
        </w:rPr>
        <w:t>八</w:t>
      </w:r>
      <w:r>
        <w:rPr>
          <w:rFonts w:hint="eastAsia" w:ascii="宋体" w:hAnsi="宋体" w:cs="MingLiU"/>
          <w:b/>
          <w:color w:val="auto"/>
          <w:kern w:val="0"/>
          <w:sz w:val="32"/>
          <w:szCs w:val="32"/>
          <w:highlight w:val="none"/>
        </w:rPr>
        <w:t>月</w:t>
      </w:r>
    </w:p>
    <w:p w14:paraId="37A1EB34">
      <w:pPr>
        <w:autoSpaceDE w:val="0"/>
        <w:autoSpaceDN w:val="0"/>
        <w:adjustRightInd w:val="0"/>
        <w:snapToGrid w:val="0"/>
        <w:spacing w:line="360" w:lineRule="auto"/>
        <w:rPr>
          <w:rFonts w:ascii="宋体" w:hAnsi="宋体" w:cs="MingLiU"/>
          <w:b/>
          <w:color w:val="auto"/>
          <w:kern w:val="0"/>
          <w:sz w:val="32"/>
          <w:szCs w:val="32"/>
          <w:highlight w:val="none"/>
        </w:rPr>
      </w:pPr>
    </w:p>
    <w:p w14:paraId="7CA4D78B">
      <w:pPr>
        <w:autoSpaceDE w:val="0"/>
        <w:autoSpaceDN w:val="0"/>
        <w:adjustRightInd w:val="0"/>
        <w:snapToGrid w:val="0"/>
        <w:spacing w:line="360" w:lineRule="auto"/>
        <w:rPr>
          <w:rFonts w:hint="eastAsia" w:ascii="宋体" w:hAnsi="宋体" w:cs="MingLiU"/>
          <w:b/>
          <w:color w:val="auto"/>
          <w:kern w:val="0"/>
          <w:sz w:val="32"/>
          <w:szCs w:val="32"/>
          <w:highlight w:val="none"/>
        </w:rPr>
      </w:pPr>
    </w:p>
    <w:p w14:paraId="19D75554">
      <w:pPr>
        <w:autoSpaceDE w:val="0"/>
        <w:autoSpaceDN w:val="0"/>
        <w:adjustRightInd w:val="0"/>
        <w:snapToGrid w:val="0"/>
        <w:spacing w:line="360" w:lineRule="auto"/>
        <w:ind w:firstLine="4498" w:firstLineChars="1400"/>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14:paraId="77880D93">
      <w:pPr>
        <w:pStyle w:val="36"/>
        <w:rPr>
          <w:rFonts w:cs="MingLiU"/>
          <w:b w:val="0"/>
          <w:color w:val="auto"/>
          <w:kern w:val="0"/>
          <w:sz w:val="21"/>
          <w:szCs w:val="21"/>
          <w:highlight w:val="none"/>
        </w:rPr>
      </w:pPr>
    </w:p>
    <w:p w14:paraId="4F7AB1D8">
      <w:pPr>
        <w:pStyle w:val="36"/>
        <w:tabs>
          <w:tab w:val="right" w:leader="dot" w:pos="8820"/>
          <w:tab w:val="clear" w:pos="8608"/>
        </w:tabs>
      </w:pPr>
      <w:r>
        <w:rPr>
          <w:rFonts w:cs="MingLiU"/>
          <w:b w:val="0"/>
          <w:color w:val="auto"/>
          <w:kern w:val="0"/>
          <w:sz w:val="21"/>
          <w:szCs w:val="21"/>
          <w:highlight w:val="none"/>
        </w:rPr>
        <w:fldChar w:fldCharType="begin"/>
      </w:r>
      <w:r>
        <w:rPr>
          <w:rFonts w:hint="eastAsia" w:cs="MingLiU"/>
          <w:b w:val="0"/>
          <w:color w:val="auto"/>
          <w:kern w:val="0"/>
          <w:sz w:val="21"/>
          <w:szCs w:val="21"/>
          <w:highlight w:val="none"/>
        </w:rPr>
        <w:instrText xml:space="preserve">TOC \o "1-1" \h \z \u</w:instrText>
      </w:r>
      <w:r>
        <w:rPr>
          <w:rFonts w:cs="MingLiU"/>
          <w:b w:val="0"/>
          <w:color w:val="auto"/>
          <w:kern w:val="0"/>
          <w:sz w:val="21"/>
          <w:szCs w:val="21"/>
          <w:highlight w:val="none"/>
        </w:rPr>
        <w:fldChar w:fldCharType="separate"/>
      </w:r>
      <w:r>
        <w:rPr>
          <w:rFonts w:cs="MingLiU"/>
          <w:color w:val="auto"/>
          <w:kern w:val="0"/>
          <w:szCs w:val="21"/>
          <w:highlight w:val="none"/>
        </w:rPr>
        <w:fldChar w:fldCharType="begin"/>
      </w:r>
      <w:r>
        <w:rPr>
          <w:rFonts w:cs="MingLiU"/>
          <w:kern w:val="0"/>
          <w:szCs w:val="21"/>
          <w:highlight w:val="none"/>
        </w:rPr>
        <w:instrText xml:space="preserve"> HYPERLINK \l _Toc68 </w:instrText>
      </w:r>
      <w:r>
        <w:rPr>
          <w:rFonts w:cs="MingLiU"/>
          <w:kern w:val="0"/>
          <w:szCs w:val="21"/>
          <w:highlight w:val="none"/>
        </w:rPr>
        <w:fldChar w:fldCharType="separate"/>
      </w:r>
      <w:r>
        <w:rPr>
          <w:rFonts w:hint="eastAsia" w:ascii="宋体" w:hAnsi="宋体"/>
          <w:szCs w:val="52"/>
          <w:highlight w:val="none"/>
        </w:rPr>
        <w:t>第 一 卷</w:t>
      </w:r>
      <w:r>
        <w:tab/>
      </w:r>
      <w:r>
        <w:fldChar w:fldCharType="begin"/>
      </w:r>
      <w:r>
        <w:instrText xml:space="preserve"> PAGEREF _Toc68 \h </w:instrText>
      </w:r>
      <w:r>
        <w:fldChar w:fldCharType="separate"/>
      </w:r>
      <w:r>
        <w:t>3</w:t>
      </w:r>
      <w:r>
        <w:fldChar w:fldCharType="end"/>
      </w:r>
      <w:r>
        <w:rPr>
          <w:rFonts w:cs="MingLiU"/>
          <w:color w:val="auto"/>
          <w:kern w:val="0"/>
          <w:szCs w:val="21"/>
          <w:highlight w:val="none"/>
        </w:rPr>
        <w:fldChar w:fldCharType="end"/>
      </w:r>
    </w:p>
    <w:p w14:paraId="2F208FC0">
      <w:pPr>
        <w:pStyle w:val="36"/>
        <w:tabs>
          <w:tab w:val="right" w:leader="dot" w:pos="8820"/>
          <w:tab w:val="clear" w:pos="8608"/>
        </w:tabs>
        <w:rPr>
          <w:rFonts w:ascii="宋体" w:hAnsi="宋体"/>
          <w:snapToGrid w:val="0"/>
          <w:kern w:val="0"/>
          <w:highlight w:val="none"/>
        </w:rPr>
      </w:pPr>
      <w:r>
        <w:rPr>
          <w:rFonts w:ascii="宋体" w:hAnsi="宋体"/>
          <w:snapToGrid w:val="0"/>
          <w:kern w:val="0"/>
          <w:highlight w:val="none"/>
        </w:rPr>
        <w:fldChar w:fldCharType="begin"/>
      </w:r>
      <w:r>
        <w:rPr>
          <w:rFonts w:ascii="宋体" w:hAnsi="宋体"/>
          <w:snapToGrid w:val="0"/>
          <w:kern w:val="0"/>
          <w:highlight w:val="none"/>
        </w:rPr>
        <w:instrText xml:space="preserve"> HYPERLINK \l _Toc15938 </w:instrText>
      </w:r>
      <w:r>
        <w:rPr>
          <w:rFonts w:ascii="宋体" w:hAnsi="宋体"/>
          <w:snapToGrid w:val="0"/>
          <w:kern w:val="0"/>
          <w:highlight w:val="none"/>
        </w:rPr>
        <w:fldChar w:fldCharType="separate"/>
      </w:r>
      <w:r>
        <w:rPr>
          <w:rFonts w:hint="eastAsia" w:ascii="宋体" w:hAnsi="宋体"/>
          <w:snapToGrid w:val="0"/>
          <w:kern w:val="0"/>
          <w:highlight w:val="none"/>
        </w:rPr>
        <w:t>第一章  竞争性比选公告</w:t>
      </w:r>
      <w:r>
        <w:rPr>
          <w:rFonts w:ascii="宋体" w:hAnsi="宋体"/>
          <w:snapToGrid w:val="0"/>
          <w:kern w:val="0"/>
          <w:highlight w:val="none"/>
        </w:rPr>
        <w:tab/>
      </w:r>
      <w:r>
        <w:rPr>
          <w:rFonts w:ascii="宋体" w:hAnsi="宋体"/>
          <w:snapToGrid w:val="0"/>
          <w:kern w:val="0"/>
          <w:highlight w:val="none"/>
        </w:rPr>
        <w:fldChar w:fldCharType="begin"/>
      </w:r>
      <w:r>
        <w:rPr>
          <w:rFonts w:ascii="宋体" w:hAnsi="宋体"/>
          <w:snapToGrid w:val="0"/>
          <w:kern w:val="0"/>
          <w:highlight w:val="none"/>
        </w:rPr>
        <w:instrText xml:space="preserve"> PAGEREF _Toc15938 \h </w:instrText>
      </w:r>
      <w:r>
        <w:rPr>
          <w:rFonts w:ascii="宋体" w:hAnsi="宋体"/>
          <w:snapToGrid w:val="0"/>
          <w:kern w:val="0"/>
          <w:highlight w:val="none"/>
        </w:rPr>
        <w:fldChar w:fldCharType="separate"/>
      </w:r>
      <w:r>
        <w:rPr>
          <w:rFonts w:ascii="宋体" w:hAnsi="宋体"/>
          <w:snapToGrid w:val="0"/>
          <w:kern w:val="0"/>
          <w:highlight w:val="none"/>
        </w:rPr>
        <w:t>4</w:t>
      </w:r>
      <w:r>
        <w:rPr>
          <w:rFonts w:ascii="宋体" w:hAnsi="宋体"/>
          <w:snapToGrid w:val="0"/>
          <w:kern w:val="0"/>
          <w:highlight w:val="none"/>
        </w:rPr>
        <w:fldChar w:fldCharType="end"/>
      </w:r>
      <w:r>
        <w:rPr>
          <w:rFonts w:ascii="宋体" w:hAnsi="宋体"/>
          <w:snapToGrid w:val="0"/>
          <w:kern w:val="0"/>
          <w:highlight w:val="none"/>
        </w:rPr>
        <w:fldChar w:fldCharType="end"/>
      </w:r>
    </w:p>
    <w:p w14:paraId="4D99368E">
      <w:pPr>
        <w:pStyle w:val="36"/>
        <w:tabs>
          <w:tab w:val="right" w:leader="dot" w:pos="8820"/>
          <w:tab w:val="clear" w:pos="8608"/>
        </w:tabs>
      </w:pPr>
      <w:r>
        <w:rPr>
          <w:rFonts w:ascii="宋体" w:hAnsi="宋体"/>
          <w:snapToGrid w:val="0"/>
          <w:kern w:val="0"/>
          <w:highlight w:val="none"/>
        </w:rPr>
        <w:fldChar w:fldCharType="begin"/>
      </w:r>
      <w:r>
        <w:rPr>
          <w:rFonts w:ascii="宋体" w:hAnsi="宋体"/>
          <w:snapToGrid w:val="0"/>
          <w:kern w:val="0"/>
          <w:highlight w:val="none"/>
        </w:rPr>
        <w:instrText xml:space="preserve"> HYPERLINK \l _Toc20205 </w:instrText>
      </w:r>
      <w:r>
        <w:rPr>
          <w:rFonts w:ascii="宋体" w:hAnsi="宋体"/>
          <w:snapToGrid w:val="0"/>
          <w:kern w:val="0"/>
          <w:highlight w:val="none"/>
        </w:rPr>
        <w:fldChar w:fldCharType="separate"/>
      </w:r>
      <w:r>
        <w:rPr>
          <w:rFonts w:hint="eastAsia" w:ascii="宋体" w:hAnsi="宋体"/>
          <w:snapToGrid w:val="0"/>
          <w:kern w:val="0"/>
          <w:highlight w:val="none"/>
        </w:rPr>
        <w:t>第二章  投标人须知</w:t>
      </w:r>
      <w:r>
        <w:rPr>
          <w:rFonts w:ascii="宋体" w:hAnsi="宋体"/>
          <w:snapToGrid w:val="0"/>
          <w:kern w:val="0"/>
          <w:highlight w:val="none"/>
        </w:rPr>
        <w:tab/>
      </w:r>
      <w:r>
        <w:rPr>
          <w:rFonts w:ascii="宋体" w:hAnsi="宋体"/>
          <w:snapToGrid w:val="0"/>
          <w:kern w:val="0"/>
          <w:highlight w:val="none"/>
        </w:rPr>
        <w:fldChar w:fldCharType="begin"/>
      </w:r>
      <w:r>
        <w:rPr>
          <w:rFonts w:ascii="宋体" w:hAnsi="宋体"/>
          <w:snapToGrid w:val="0"/>
          <w:kern w:val="0"/>
          <w:highlight w:val="none"/>
        </w:rPr>
        <w:instrText xml:space="preserve"> PAGEREF _Toc20205 \h </w:instrText>
      </w:r>
      <w:r>
        <w:rPr>
          <w:rFonts w:ascii="宋体" w:hAnsi="宋体"/>
          <w:snapToGrid w:val="0"/>
          <w:kern w:val="0"/>
          <w:highlight w:val="none"/>
        </w:rPr>
        <w:fldChar w:fldCharType="separate"/>
      </w:r>
      <w:r>
        <w:rPr>
          <w:rFonts w:ascii="宋体" w:hAnsi="宋体"/>
          <w:snapToGrid w:val="0"/>
          <w:kern w:val="0"/>
          <w:highlight w:val="none"/>
        </w:rPr>
        <w:t>6</w:t>
      </w:r>
      <w:r>
        <w:rPr>
          <w:rFonts w:ascii="宋体" w:hAnsi="宋体"/>
          <w:snapToGrid w:val="0"/>
          <w:kern w:val="0"/>
          <w:highlight w:val="none"/>
        </w:rPr>
        <w:fldChar w:fldCharType="end"/>
      </w:r>
      <w:r>
        <w:rPr>
          <w:rFonts w:ascii="宋体" w:hAnsi="宋体"/>
          <w:snapToGrid w:val="0"/>
          <w:kern w:val="0"/>
          <w:highlight w:val="none"/>
        </w:rPr>
        <w:fldChar w:fldCharType="end"/>
      </w:r>
    </w:p>
    <w:p w14:paraId="51EA2C85">
      <w:pPr>
        <w:pStyle w:val="36"/>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_Toc18408 </w:instrText>
      </w:r>
      <w:r>
        <w:rPr>
          <w:rFonts w:ascii="宋体" w:hAnsi="宋体" w:cs="MingLiU"/>
          <w:kern w:val="0"/>
          <w:szCs w:val="21"/>
          <w:highlight w:val="none"/>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r>
        <w:tab/>
      </w:r>
      <w:r>
        <w:fldChar w:fldCharType="begin"/>
      </w:r>
      <w:r>
        <w:instrText xml:space="preserve"> PAGEREF _Toc18408 \h </w:instrText>
      </w:r>
      <w:r>
        <w:fldChar w:fldCharType="separate"/>
      </w:r>
      <w:r>
        <w:t>30</w:t>
      </w:r>
      <w:r>
        <w:fldChar w:fldCharType="end"/>
      </w:r>
      <w:r>
        <w:rPr>
          <w:rFonts w:ascii="宋体" w:hAnsi="宋体" w:cs="MingLiU"/>
          <w:color w:val="auto"/>
          <w:kern w:val="0"/>
          <w:szCs w:val="21"/>
          <w:highlight w:val="none"/>
        </w:rPr>
        <w:fldChar w:fldCharType="end"/>
      </w:r>
    </w:p>
    <w:p w14:paraId="6E7C802D">
      <w:pPr>
        <w:pStyle w:val="36"/>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_Toc31533 </w:instrText>
      </w:r>
      <w:r>
        <w:rPr>
          <w:rFonts w:ascii="宋体" w:hAnsi="宋体" w:cs="MingLiU"/>
          <w:kern w:val="0"/>
          <w:szCs w:val="21"/>
          <w:highlight w:val="none"/>
        </w:rPr>
        <w:fldChar w:fldCharType="separate"/>
      </w:r>
      <w:r>
        <w:rPr>
          <w:rFonts w:hint="eastAsia" w:ascii="宋体" w:hAnsi="宋体"/>
          <w:kern w:val="0"/>
          <w:highlight w:val="none"/>
        </w:rPr>
        <w:t>第四章  合同条款及格式</w:t>
      </w:r>
      <w:r>
        <w:tab/>
      </w:r>
      <w:r>
        <w:fldChar w:fldCharType="begin"/>
      </w:r>
      <w:r>
        <w:instrText xml:space="preserve"> PAGEREF _Toc31533 \h </w:instrText>
      </w:r>
      <w:r>
        <w:fldChar w:fldCharType="separate"/>
      </w:r>
      <w:r>
        <w:t>38</w:t>
      </w:r>
      <w:r>
        <w:fldChar w:fldCharType="end"/>
      </w:r>
      <w:r>
        <w:rPr>
          <w:rFonts w:ascii="宋体" w:hAnsi="宋体" w:cs="MingLiU"/>
          <w:color w:val="auto"/>
          <w:kern w:val="0"/>
          <w:szCs w:val="21"/>
          <w:highlight w:val="none"/>
        </w:rPr>
        <w:fldChar w:fldCharType="end"/>
      </w:r>
    </w:p>
    <w:p w14:paraId="355E4F11">
      <w:pPr>
        <w:pStyle w:val="36"/>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_Toc32139 </w:instrText>
      </w:r>
      <w:r>
        <w:rPr>
          <w:rFonts w:ascii="宋体" w:hAnsi="宋体" w:cs="MingLiU"/>
          <w:kern w:val="0"/>
          <w:szCs w:val="21"/>
          <w:highlight w:val="none"/>
        </w:rPr>
        <w:fldChar w:fldCharType="separate"/>
      </w:r>
      <w:r>
        <w:rPr>
          <w:rFonts w:hint="eastAsia" w:ascii="宋体" w:hAnsi="宋体"/>
          <w:kern w:val="0"/>
          <w:highlight w:val="none"/>
          <w:lang w:val="en-US" w:eastAsia="zh-CN"/>
        </w:rPr>
        <w:t>第五章  工程量清单</w:t>
      </w:r>
      <w:r>
        <w:tab/>
      </w:r>
      <w:r>
        <w:fldChar w:fldCharType="begin"/>
      </w:r>
      <w:r>
        <w:instrText xml:space="preserve"> PAGEREF _Toc32139 \h </w:instrText>
      </w:r>
      <w:r>
        <w:fldChar w:fldCharType="separate"/>
      </w:r>
      <w:r>
        <w:t>97</w:t>
      </w:r>
      <w:r>
        <w:fldChar w:fldCharType="end"/>
      </w:r>
      <w:r>
        <w:rPr>
          <w:rFonts w:ascii="宋体" w:hAnsi="宋体" w:cs="MingLiU"/>
          <w:color w:val="auto"/>
          <w:kern w:val="0"/>
          <w:szCs w:val="21"/>
          <w:highlight w:val="none"/>
        </w:rPr>
        <w:fldChar w:fldCharType="end"/>
      </w:r>
    </w:p>
    <w:p w14:paraId="7758708F">
      <w:pPr>
        <w:pStyle w:val="36"/>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_Toc24306 </w:instrText>
      </w:r>
      <w:r>
        <w:rPr>
          <w:rFonts w:ascii="宋体" w:hAnsi="宋体" w:cs="MingLiU"/>
          <w:kern w:val="0"/>
          <w:szCs w:val="21"/>
          <w:highlight w:val="none"/>
        </w:rPr>
        <w:fldChar w:fldCharType="separate"/>
      </w:r>
      <w:r>
        <w:rPr>
          <w:rFonts w:hint="eastAsia" w:ascii="宋体" w:hAnsi="宋体"/>
          <w:kern w:val="0"/>
          <w:highlight w:val="none"/>
        </w:rPr>
        <w:t>第六章  图纸</w:t>
      </w:r>
      <w:r>
        <w:tab/>
      </w:r>
      <w:r>
        <w:fldChar w:fldCharType="begin"/>
      </w:r>
      <w:r>
        <w:instrText xml:space="preserve"> PAGEREF _Toc24306 \h </w:instrText>
      </w:r>
      <w:r>
        <w:fldChar w:fldCharType="separate"/>
      </w:r>
      <w:r>
        <w:t>99</w:t>
      </w:r>
      <w:r>
        <w:fldChar w:fldCharType="end"/>
      </w:r>
      <w:r>
        <w:rPr>
          <w:rFonts w:ascii="宋体" w:hAnsi="宋体" w:cs="MingLiU"/>
          <w:color w:val="auto"/>
          <w:kern w:val="0"/>
          <w:szCs w:val="21"/>
          <w:highlight w:val="none"/>
        </w:rPr>
        <w:fldChar w:fldCharType="end"/>
      </w:r>
    </w:p>
    <w:p w14:paraId="2B5AD9F8">
      <w:pPr>
        <w:pStyle w:val="36"/>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_Toc5792 </w:instrText>
      </w:r>
      <w:r>
        <w:rPr>
          <w:rFonts w:ascii="宋体" w:hAnsi="宋体" w:cs="MingLiU"/>
          <w:kern w:val="0"/>
          <w:szCs w:val="21"/>
          <w:highlight w:val="none"/>
        </w:rPr>
        <w:fldChar w:fldCharType="separate"/>
      </w:r>
      <w:r>
        <w:rPr>
          <w:rFonts w:hint="eastAsia" w:ascii="宋体" w:hAnsi="宋体"/>
          <w:kern w:val="0"/>
          <w:highlight w:val="none"/>
        </w:rPr>
        <w:t>第七章  技术标准和要求</w:t>
      </w:r>
      <w:r>
        <w:tab/>
      </w:r>
      <w:r>
        <w:fldChar w:fldCharType="begin"/>
      </w:r>
      <w:r>
        <w:instrText xml:space="preserve"> PAGEREF _Toc5792 \h </w:instrText>
      </w:r>
      <w:r>
        <w:fldChar w:fldCharType="separate"/>
      </w:r>
      <w:r>
        <w:t>101</w:t>
      </w:r>
      <w:r>
        <w:fldChar w:fldCharType="end"/>
      </w:r>
      <w:r>
        <w:rPr>
          <w:rFonts w:ascii="宋体" w:hAnsi="宋体" w:cs="MingLiU"/>
          <w:color w:val="auto"/>
          <w:kern w:val="0"/>
          <w:szCs w:val="21"/>
          <w:highlight w:val="none"/>
        </w:rPr>
        <w:fldChar w:fldCharType="end"/>
      </w:r>
    </w:p>
    <w:p w14:paraId="67C11B97">
      <w:pPr>
        <w:pStyle w:val="36"/>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_Toc4574 </w:instrText>
      </w:r>
      <w:r>
        <w:rPr>
          <w:rFonts w:ascii="宋体" w:hAnsi="宋体" w:cs="MingLiU"/>
          <w:kern w:val="0"/>
          <w:szCs w:val="21"/>
          <w:highlight w:val="none"/>
        </w:rPr>
        <w:fldChar w:fldCharType="separate"/>
      </w:r>
      <w:r>
        <w:rPr>
          <w:rFonts w:hint="eastAsia" w:ascii="宋体" w:hAnsi="宋体"/>
          <w:kern w:val="0"/>
          <w:highlight w:val="none"/>
        </w:rPr>
        <w:t>第八章  投标文件格式</w:t>
      </w:r>
      <w:r>
        <w:tab/>
      </w:r>
      <w:r>
        <w:fldChar w:fldCharType="begin"/>
      </w:r>
      <w:r>
        <w:instrText xml:space="preserve"> PAGEREF _Toc4574 \h </w:instrText>
      </w:r>
      <w:r>
        <w:fldChar w:fldCharType="separate"/>
      </w:r>
      <w:r>
        <w:t>103</w:t>
      </w:r>
      <w:r>
        <w:fldChar w:fldCharType="end"/>
      </w:r>
      <w:r>
        <w:rPr>
          <w:rFonts w:ascii="宋体" w:hAnsi="宋体" w:cs="MingLiU"/>
          <w:color w:val="auto"/>
          <w:kern w:val="0"/>
          <w:szCs w:val="21"/>
          <w:highlight w:val="none"/>
        </w:rPr>
        <w:fldChar w:fldCharType="end"/>
      </w:r>
    </w:p>
    <w:p w14:paraId="4CCF931A">
      <w:pPr>
        <w:pStyle w:val="4"/>
        <w:keepNext/>
        <w:keepLines/>
        <w:pageBreakBefore w:val="0"/>
        <w:widowControl w:val="0"/>
        <w:kinsoku/>
        <w:wordWrap/>
        <w:overflowPunct/>
        <w:topLinePunct w:val="0"/>
        <w:autoSpaceDE/>
        <w:autoSpaceDN/>
        <w:bidi w:val="0"/>
        <w:adjustRightInd/>
        <w:snapToGrid/>
        <w:spacing w:line="800" w:lineRule="exact"/>
        <w:jc w:val="center"/>
        <w:textAlignment w:val="auto"/>
        <w:rPr>
          <w:rFonts w:ascii="宋体" w:hAnsi="宋体" w:cs="MingLiU"/>
          <w:color w:val="auto"/>
          <w:kern w:val="0"/>
          <w:szCs w:val="21"/>
          <w:highlight w:val="none"/>
        </w:rPr>
      </w:pPr>
      <w:r>
        <w:rPr>
          <w:rFonts w:ascii="宋体" w:hAnsi="宋体" w:cs="MingLiU"/>
          <w:color w:val="auto"/>
          <w:kern w:val="0"/>
          <w:szCs w:val="21"/>
          <w:highlight w:val="none"/>
        </w:rPr>
        <w:fldChar w:fldCharType="end"/>
      </w:r>
      <w:bookmarkStart w:id="6" w:name="_Toc27983214"/>
      <w:bookmarkStart w:id="7" w:name="_Toc509218690"/>
      <w:bookmarkStart w:id="8" w:name="_Toc452058672"/>
      <w:bookmarkStart w:id="9" w:name="_Toc513492487"/>
    </w:p>
    <w:p w14:paraId="73009BBA">
      <w:pPr>
        <w:pStyle w:val="4"/>
        <w:keepNext/>
        <w:keepLines/>
        <w:pageBreakBefore w:val="0"/>
        <w:widowControl w:val="0"/>
        <w:kinsoku/>
        <w:wordWrap/>
        <w:overflowPunct/>
        <w:topLinePunct w:val="0"/>
        <w:autoSpaceDE/>
        <w:autoSpaceDN/>
        <w:bidi w:val="0"/>
        <w:adjustRightInd/>
        <w:snapToGrid/>
        <w:spacing w:line="800" w:lineRule="exact"/>
        <w:jc w:val="center"/>
        <w:textAlignment w:val="auto"/>
        <w:rPr>
          <w:rFonts w:ascii="宋体" w:hAnsi="宋体" w:cs="MingLiU"/>
          <w:color w:val="auto"/>
          <w:kern w:val="0"/>
          <w:szCs w:val="21"/>
          <w:highlight w:val="none"/>
        </w:rPr>
      </w:pPr>
    </w:p>
    <w:p w14:paraId="00C7CD6F">
      <w:pPr>
        <w:pStyle w:val="4"/>
        <w:keepNext/>
        <w:keepLines/>
        <w:pageBreakBefore w:val="0"/>
        <w:widowControl w:val="0"/>
        <w:kinsoku/>
        <w:wordWrap/>
        <w:overflowPunct/>
        <w:topLinePunct w:val="0"/>
        <w:autoSpaceDE/>
        <w:autoSpaceDN/>
        <w:bidi w:val="0"/>
        <w:adjustRightInd/>
        <w:snapToGrid/>
        <w:spacing w:line="800" w:lineRule="exact"/>
        <w:jc w:val="center"/>
        <w:textAlignment w:val="auto"/>
        <w:rPr>
          <w:rFonts w:ascii="宋体" w:hAnsi="宋体" w:cs="MingLiU"/>
          <w:color w:val="auto"/>
          <w:kern w:val="0"/>
          <w:szCs w:val="21"/>
          <w:highlight w:val="none"/>
        </w:rPr>
      </w:pPr>
    </w:p>
    <w:p w14:paraId="5F20ABB4">
      <w:pPr>
        <w:rPr>
          <w:rFonts w:ascii="宋体" w:hAnsi="宋体" w:cs="MingLiU"/>
          <w:color w:val="auto"/>
          <w:kern w:val="0"/>
          <w:szCs w:val="21"/>
          <w:highlight w:val="none"/>
        </w:rPr>
      </w:pPr>
    </w:p>
    <w:p w14:paraId="4ABC0DDD">
      <w:pPr>
        <w:pStyle w:val="51"/>
        <w:rPr>
          <w:highlight w:val="none"/>
        </w:rPr>
      </w:pPr>
    </w:p>
    <w:p w14:paraId="52B32420">
      <w:pPr>
        <w:pStyle w:val="2"/>
        <w:rPr>
          <w:rFonts w:ascii="宋体" w:hAnsi="宋体" w:cs="MingLiU"/>
          <w:color w:val="auto"/>
          <w:kern w:val="0"/>
          <w:szCs w:val="21"/>
          <w:highlight w:val="none"/>
        </w:rPr>
      </w:pPr>
    </w:p>
    <w:p w14:paraId="0CDE6199">
      <w:pPr>
        <w:pStyle w:val="4"/>
        <w:keepNext/>
        <w:keepLines/>
        <w:pageBreakBefore w:val="0"/>
        <w:widowControl w:val="0"/>
        <w:kinsoku/>
        <w:wordWrap/>
        <w:overflowPunct/>
        <w:topLinePunct w:val="0"/>
        <w:autoSpaceDE/>
        <w:autoSpaceDN/>
        <w:bidi w:val="0"/>
        <w:adjustRightInd/>
        <w:snapToGrid/>
        <w:spacing w:line="800" w:lineRule="exact"/>
        <w:jc w:val="both"/>
        <w:textAlignment w:val="auto"/>
        <w:rPr>
          <w:rFonts w:ascii="宋体" w:hAnsi="宋体" w:cs="MingLiU"/>
          <w:color w:val="auto"/>
          <w:kern w:val="0"/>
          <w:szCs w:val="21"/>
          <w:highlight w:val="none"/>
        </w:rPr>
      </w:pPr>
    </w:p>
    <w:p w14:paraId="3D93D8D9">
      <w:pPr>
        <w:rPr>
          <w:highlight w:val="none"/>
        </w:rPr>
      </w:pPr>
    </w:p>
    <w:p w14:paraId="627CF824">
      <w:pPr>
        <w:pStyle w:val="4"/>
        <w:keepNext/>
        <w:keepLines/>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sz w:val="52"/>
          <w:szCs w:val="52"/>
          <w:highlight w:val="none"/>
        </w:rPr>
      </w:pPr>
      <w:bookmarkStart w:id="10" w:name="_Toc68"/>
      <w:r>
        <w:rPr>
          <w:rFonts w:hint="eastAsia" w:ascii="宋体" w:hAnsi="宋体"/>
          <w:sz w:val="52"/>
          <w:szCs w:val="52"/>
          <w:highlight w:val="none"/>
        </w:rPr>
        <w:t>第 一 卷</w:t>
      </w:r>
      <w:bookmarkEnd w:id="6"/>
      <w:bookmarkEnd w:id="7"/>
      <w:bookmarkEnd w:id="10"/>
    </w:p>
    <w:p w14:paraId="26AFD4CF">
      <w:pPr>
        <w:pStyle w:val="4"/>
        <w:spacing w:line="360" w:lineRule="exact"/>
        <w:jc w:val="center"/>
        <w:rPr>
          <w:rFonts w:hint="eastAsia" w:ascii="宋体" w:hAnsi="宋体"/>
          <w:sz w:val="52"/>
          <w:szCs w:val="52"/>
          <w:highlight w:val="none"/>
        </w:rPr>
      </w:pPr>
    </w:p>
    <w:p w14:paraId="75F20DF9">
      <w:pPr>
        <w:rPr>
          <w:rFonts w:hint="eastAsia"/>
          <w:highlight w:val="none"/>
        </w:rPr>
      </w:pPr>
    </w:p>
    <w:p w14:paraId="05A19099">
      <w:pPr>
        <w:rPr>
          <w:rFonts w:hint="eastAsia" w:ascii="宋体" w:hAnsi="宋体"/>
          <w:sz w:val="52"/>
          <w:szCs w:val="52"/>
          <w:highlight w:val="none"/>
        </w:rPr>
      </w:pPr>
    </w:p>
    <w:p w14:paraId="327DB6FD">
      <w:pPr>
        <w:pStyle w:val="2"/>
        <w:rPr>
          <w:rFonts w:hint="eastAsia" w:ascii="宋体" w:hAnsi="宋体"/>
          <w:sz w:val="52"/>
          <w:szCs w:val="52"/>
          <w:highlight w:val="none"/>
        </w:rPr>
      </w:pPr>
    </w:p>
    <w:p w14:paraId="179BE0AF">
      <w:pPr>
        <w:pStyle w:val="3"/>
        <w:rPr>
          <w:rFonts w:hint="eastAsia" w:ascii="宋体" w:hAnsi="宋体"/>
          <w:sz w:val="52"/>
          <w:szCs w:val="52"/>
          <w:highlight w:val="none"/>
        </w:rPr>
      </w:pPr>
    </w:p>
    <w:p w14:paraId="22243515">
      <w:pPr>
        <w:rPr>
          <w:rFonts w:hint="eastAsia" w:ascii="宋体" w:hAnsi="宋体"/>
          <w:sz w:val="52"/>
          <w:szCs w:val="52"/>
          <w:highlight w:val="none"/>
        </w:rPr>
      </w:pPr>
    </w:p>
    <w:p w14:paraId="3B8A6E51">
      <w:pPr>
        <w:pStyle w:val="2"/>
        <w:rPr>
          <w:rFonts w:hint="eastAsia" w:ascii="宋体" w:hAnsi="宋体"/>
          <w:sz w:val="52"/>
          <w:szCs w:val="52"/>
          <w:highlight w:val="none"/>
        </w:rPr>
      </w:pPr>
    </w:p>
    <w:p w14:paraId="7E7FE7B1">
      <w:pPr>
        <w:pStyle w:val="3"/>
        <w:rPr>
          <w:rFonts w:hint="eastAsia" w:ascii="宋体" w:hAnsi="宋体"/>
          <w:sz w:val="52"/>
          <w:szCs w:val="52"/>
          <w:highlight w:val="none"/>
        </w:rPr>
      </w:pPr>
    </w:p>
    <w:p w14:paraId="639A5D16">
      <w:pPr>
        <w:rPr>
          <w:rFonts w:hint="eastAsia" w:ascii="宋体" w:hAnsi="宋体"/>
          <w:sz w:val="52"/>
          <w:szCs w:val="52"/>
          <w:highlight w:val="none"/>
        </w:rPr>
      </w:pPr>
    </w:p>
    <w:p w14:paraId="662336CE">
      <w:pPr>
        <w:pStyle w:val="2"/>
        <w:rPr>
          <w:rFonts w:hint="eastAsia" w:ascii="宋体" w:hAnsi="宋体"/>
          <w:sz w:val="52"/>
          <w:szCs w:val="52"/>
          <w:highlight w:val="none"/>
        </w:rPr>
      </w:pPr>
    </w:p>
    <w:p w14:paraId="696E83C5">
      <w:pPr>
        <w:pStyle w:val="3"/>
        <w:rPr>
          <w:rFonts w:hint="eastAsia" w:ascii="宋体" w:hAnsi="宋体"/>
          <w:sz w:val="52"/>
          <w:szCs w:val="52"/>
          <w:highlight w:val="none"/>
        </w:rPr>
      </w:pPr>
    </w:p>
    <w:p w14:paraId="72323246">
      <w:pPr>
        <w:rPr>
          <w:rFonts w:hint="eastAsia" w:ascii="宋体" w:hAnsi="宋体"/>
          <w:sz w:val="52"/>
          <w:szCs w:val="52"/>
          <w:highlight w:val="none"/>
        </w:rPr>
      </w:pPr>
    </w:p>
    <w:p w14:paraId="1D485547">
      <w:pPr>
        <w:pStyle w:val="2"/>
        <w:rPr>
          <w:rFonts w:hint="eastAsia" w:ascii="宋体" w:hAnsi="宋体"/>
          <w:sz w:val="52"/>
          <w:szCs w:val="52"/>
          <w:highlight w:val="none"/>
        </w:rPr>
      </w:pPr>
    </w:p>
    <w:p w14:paraId="2F96D02B">
      <w:pPr>
        <w:pStyle w:val="4"/>
        <w:spacing w:line="360" w:lineRule="exact"/>
        <w:jc w:val="center"/>
        <w:rPr>
          <w:rFonts w:ascii="黑体" w:hAnsi="宋体" w:eastAsia="黑体"/>
          <w:color w:val="auto"/>
          <w:kern w:val="0"/>
          <w:sz w:val="28"/>
          <w:szCs w:val="28"/>
          <w:highlight w:val="none"/>
        </w:rPr>
      </w:pPr>
      <w:bookmarkStart w:id="11" w:name="_Toc15938"/>
      <w:r>
        <w:rPr>
          <w:rFonts w:hint="eastAsia" w:ascii="黑体" w:hAnsi="宋体" w:eastAsia="黑体"/>
          <w:color w:val="auto"/>
          <w:kern w:val="0"/>
          <w:sz w:val="28"/>
          <w:szCs w:val="28"/>
          <w:highlight w:val="none"/>
        </w:rPr>
        <w:t>第一章  竞争性比选公告</w:t>
      </w:r>
      <w:bookmarkEnd w:id="0"/>
      <w:bookmarkEnd w:id="1"/>
      <w:bookmarkEnd w:id="2"/>
      <w:bookmarkEnd w:id="3"/>
      <w:bookmarkEnd w:id="4"/>
      <w:bookmarkEnd w:id="5"/>
      <w:bookmarkEnd w:id="8"/>
      <w:bookmarkEnd w:id="9"/>
      <w:bookmarkEnd w:id="11"/>
    </w:p>
    <w:p w14:paraId="1D9E2618">
      <w:pPr>
        <w:spacing w:line="360" w:lineRule="exact"/>
        <w:jc w:val="center"/>
        <w:rPr>
          <w:rFonts w:ascii="宋体" w:hAnsi="宋体" w:cs="宋体"/>
          <w:b/>
          <w:bCs/>
          <w:color w:val="auto"/>
          <w:kern w:val="0"/>
          <w:sz w:val="28"/>
          <w:szCs w:val="28"/>
          <w:highlight w:val="none"/>
          <w:u w:val="none"/>
        </w:rPr>
      </w:pPr>
      <w:r>
        <w:rPr>
          <w:rFonts w:hint="eastAsia" w:ascii="宋体" w:hAnsi="宋体"/>
          <w:b/>
          <w:bCs/>
          <w:snapToGrid w:val="0"/>
          <w:w w:val="99"/>
          <w:kern w:val="0"/>
          <w:sz w:val="28"/>
          <w:szCs w:val="28"/>
          <w:u w:val="none"/>
          <w:lang w:eastAsia="zh-CN"/>
        </w:rPr>
        <w:t>蒲吕滨江新城商品房外墙脱落排危整治项目（第二次）</w:t>
      </w:r>
      <w:r>
        <w:rPr>
          <w:rFonts w:ascii="宋体" w:hAnsi="宋体"/>
          <w:b/>
          <w:bCs/>
          <w:snapToGrid w:val="0"/>
          <w:w w:val="99"/>
          <w:kern w:val="0"/>
          <w:sz w:val="28"/>
          <w:szCs w:val="28"/>
          <w:u w:val="none"/>
        </w:rPr>
        <w:t>施工招标公告</w:t>
      </w:r>
    </w:p>
    <w:p w14:paraId="4555CDB4">
      <w:pPr>
        <w:pStyle w:val="5"/>
        <w:spacing w:before="0" w:after="0" w:line="300" w:lineRule="exact"/>
        <w:rPr>
          <w:rFonts w:ascii="宋体" w:hAnsi="宋体"/>
          <w:bCs w:val="0"/>
          <w:snapToGrid w:val="0"/>
          <w:color w:val="auto"/>
          <w:sz w:val="24"/>
          <w:szCs w:val="24"/>
          <w:highlight w:val="none"/>
        </w:rPr>
      </w:pPr>
      <w:bookmarkStart w:id="12" w:name="_Toc428455483"/>
      <w:bookmarkStart w:id="13" w:name="_Toc452058673"/>
      <w:r>
        <w:rPr>
          <w:rFonts w:hint="eastAsia" w:ascii="宋体" w:hAnsi="宋体"/>
          <w:snapToGrid w:val="0"/>
          <w:color w:val="auto"/>
          <w:sz w:val="24"/>
          <w:szCs w:val="24"/>
          <w:highlight w:val="none"/>
        </w:rPr>
        <w:t>1. 竞争性比选条件</w:t>
      </w:r>
      <w:bookmarkEnd w:id="12"/>
      <w:bookmarkEnd w:id="13"/>
    </w:p>
    <w:p w14:paraId="02F77EB9">
      <w:pPr>
        <w:spacing w:line="30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本招标项目</w:t>
      </w:r>
      <w:r>
        <w:rPr>
          <w:rFonts w:hint="eastAsia" w:ascii="宋体" w:hAnsi="宋体" w:cs="MingLiU"/>
          <w:snapToGrid w:val="0"/>
          <w:color w:val="auto"/>
          <w:kern w:val="0"/>
          <w:szCs w:val="21"/>
          <w:highlight w:val="none"/>
          <w:u w:val="single"/>
          <w:lang w:eastAsia="zh-CN"/>
        </w:rPr>
        <w:t>蒲吕滨江新城商品房外墙脱落排危整治项目（第二次）</w:t>
      </w:r>
      <w:r>
        <w:rPr>
          <w:rFonts w:hint="eastAsia" w:ascii="宋体" w:hAnsi="宋体"/>
          <w:snapToGrid w:val="0"/>
          <w:kern w:val="0"/>
          <w:szCs w:val="21"/>
          <w:u w:val="none"/>
          <w:lang w:val="en-US" w:eastAsia="zh-CN"/>
        </w:rPr>
        <w:t>已由</w:t>
      </w:r>
      <w:r>
        <w:rPr>
          <w:rFonts w:hint="eastAsia" w:ascii="宋体" w:hAnsi="宋体"/>
          <w:snapToGrid w:val="0"/>
          <w:kern w:val="0"/>
          <w:szCs w:val="21"/>
          <w:u w:val="single"/>
          <w:lang w:val="en-US" w:eastAsia="zh-CN"/>
        </w:rPr>
        <w:t xml:space="preserve"> 重庆市铜梁区发展和改革委员会</w:t>
      </w:r>
      <w:r>
        <w:rPr>
          <w:rFonts w:hint="eastAsia" w:ascii="宋体" w:hAnsi="宋体"/>
          <w:snapToGrid w:val="0"/>
          <w:kern w:val="0"/>
          <w:szCs w:val="21"/>
          <w:u w:val="none"/>
          <w:lang w:val="en-US" w:eastAsia="zh-CN"/>
        </w:rPr>
        <w:t>以</w:t>
      </w:r>
      <w:r>
        <w:rPr>
          <w:rFonts w:hint="eastAsia" w:ascii="宋体" w:hAnsi="宋体"/>
          <w:snapToGrid w:val="0"/>
          <w:kern w:val="0"/>
          <w:szCs w:val="21"/>
          <w:u w:val="single"/>
          <w:lang w:val="en-US" w:eastAsia="zh-CN"/>
        </w:rPr>
        <w:t>重庆市企业投资项目备案证（项目代码：2505-500151-04-01-338381）</w:t>
      </w:r>
      <w:r>
        <w:rPr>
          <w:rFonts w:hint="eastAsia" w:ascii="宋体" w:hAnsi="宋体"/>
          <w:snapToGrid w:val="0"/>
          <w:kern w:val="0"/>
          <w:szCs w:val="21"/>
          <w:u w:val="none"/>
          <w:lang w:val="en-US" w:eastAsia="zh-CN"/>
        </w:rPr>
        <w:t>批准建设</w:t>
      </w:r>
      <w:r>
        <w:rPr>
          <w:rFonts w:hint="eastAsia" w:ascii="宋体" w:hAnsi="宋体" w:cs="MingLiU"/>
          <w:snapToGrid w:val="0"/>
          <w:color w:val="auto"/>
          <w:kern w:val="0"/>
          <w:szCs w:val="21"/>
          <w:highlight w:val="none"/>
          <w:u w:val="none"/>
          <w:lang w:val="en-US" w:eastAsia="zh-CN"/>
        </w:rPr>
        <w:t>，</w:t>
      </w:r>
      <w:r>
        <w:rPr>
          <w:rFonts w:hint="eastAsia" w:ascii="宋体" w:hAnsi="宋体" w:cs="MingLiU"/>
          <w:snapToGrid w:val="0"/>
          <w:color w:val="auto"/>
          <w:kern w:val="0"/>
          <w:szCs w:val="21"/>
          <w:highlight w:val="none"/>
        </w:rPr>
        <w:t>项目业主为</w:t>
      </w:r>
      <w:r>
        <w:rPr>
          <w:rFonts w:hint="eastAsia" w:ascii="宋体" w:hAnsi="宋体" w:cs="MingLiU"/>
          <w:snapToGrid w:val="0"/>
          <w:color w:val="auto"/>
          <w:kern w:val="0"/>
          <w:szCs w:val="21"/>
          <w:highlight w:val="none"/>
          <w:u w:val="single"/>
          <w:lang w:eastAsia="zh-CN"/>
        </w:rPr>
        <w:t>重庆绅鹏实业开发有限公司</w:t>
      </w:r>
      <w:r>
        <w:rPr>
          <w:rFonts w:hint="eastAsia" w:ascii="宋体" w:hAnsi="宋体" w:cs="MingLiU"/>
          <w:snapToGrid w:val="0"/>
          <w:color w:val="auto"/>
          <w:kern w:val="0"/>
          <w:szCs w:val="21"/>
          <w:highlight w:val="none"/>
        </w:rPr>
        <w:t>,资金来源为</w:t>
      </w:r>
      <w:r>
        <w:rPr>
          <w:rFonts w:hint="eastAsia" w:ascii="宋体" w:hAnsi="宋体" w:cs="MingLiU"/>
          <w:snapToGrid w:val="0"/>
          <w:color w:val="auto"/>
          <w:kern w:val="0"/>
          <w:szCs w:val="21"/>
          <w:highlight w:val="none"/>
          <w:u w:val="single"/>
          <w:lang w:val="en-US" w:eastAsia="zh-CN"/>
        </w:rPr>
        <w:t>业主自筹</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为</w:t>
      </w:r>
      <w:r>
        <w:rPr>
          <w:rFonts w:hint="eastAsia" w:ascii="宋体" w:hAnsi="宋体" w:cs="MingLiU"/>
          <w:snapToGrid w:val="0"/>
          <w:color w:val="auto"/>
          <w:kern w:val="0"/>
          <w:szCs w:val="21"/>
          <w:highlight w:val="none"/>
          <w:u w:val="single"/>
          <w:lang w:eastAsia="zh-CN"/>
        </w:rPr>
        <w:t>重庆绅鹏实业开发有限公司</w:t>
      </w:r>
      <w:r>
        <w:rPr>
          <w:rFonts w:hint="eastAsia" w:ascii="宋体" w:hAnsi="宋体" w:cs="MingLiU"/>
          <w:snapToGrid w:val="0"/>
          <w:color w:val="auto"/>
          <w:kern w:val="0"/>
          <w:szCs w:val="21"/>
          <w:highlight w:val="none"/>
        </w:rPr>
        <w:t>。项目已具备招标条件，现对该项目</w:t>
      </w:r>
      <w:r>
        <w:rPr>
          <w:rFonts w:hint="eastAsia" w:ascii="宋体" w:hAnsi="宋体" w:cs="MingLiU"/>
          <w:snapToGrid w:val="0"/>
          <w:color w:val="auto"/>
          <w:kern w:val="0"/>
          <w:szCs w:val="21"/>
          <w:highlight w:val="none"/>
          <w:u w:val="single"/>
          <w:lang w:eastAsia="zh-CN"/>
        </w:rPr>
        <w:t>工程</w:t>
      </w:r>
      <w:r>
        <w:rPr>
          <w:rFonts w:hint="eastAsia" w:ascii="宋体" w:hAnsi="宋体" w:cs="MingLiU"/>
          <w:snapToGrid w:val="0"/>
          <w:color w:val="auto"/>
          <w:kern w:val="0"/>
          <w:szCs w:val="21"/>
          <w:highlight w:val="none"/>
          <w:u w:val="single"/>
        </w:rPr>
        <w:t>施工</w:t>
      </w:r>
      <w:r>
        <w:rPr>
          <w:rFonts w:hint="eastAsia" w:ascii="宋体" w:hAnsi="宋体" w:cs="MingLiU"/>
          <w:snapToGrid w:val="0"/>
          <w:color w:val="auto"/>
          <w:kern w:val="0"/>
          <w:szCs w:val="21"/>
          <w:highlight w:val="none"/>
        </w:rPr>
        <w:t>进行竞争性比选。</w:t>
      </w:r>
    </w:p>
    <w:p w14:paraId="2A07ADFE">
      <w:pPr>
        <w:pStyle w:val="5"/>
        <w:spacing w:before="0" w:after="0" w:line="300" w:lineRule="exact"/>
        <w:rPr>
          <w:rFonts w:ascii="宋体" w:hAnsi="宋体"/>
          <w:snapToGrid w:val="0"/>
          <w:color w:val="auto"/>
          <w:sz w:val="24"/>
          <w:szCs w:val="24"/>
          <w:highlight w:val="none"/>
        </w:rPr>
      </w:pPr>
      <w:bookmarkStart w:id="14" w:name="_Toc452058674"/>
      <w:r>
        <w:rPr>
          <w:rFonts w:hint="eastAsia" w:ascii="宋体" w:hAnsi="宋体"/>
          <w:snapToGrid w:val="0"/>
          <w:color w:val="auto"/>
          <w:sz w:val="24"/>
          <w:szCs w:val="24"/>
          <w:highlight w:val="none"/>
        </w:rPr>
        <w:t>2、项目概况与比选范围</w:t>
      </w:r>
      <w:bookmarkEnd w:id="14"/>
    </w:p>
    <w:p w14:paraId="154881B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single"/>
        </w:rPr>
      </w:pPr>
      <w:bookmarkStart w:id="15" w:name="_Toc452058675"/>
      <w:r>
        <w:rPr>
          <w:rFonts w:hint="eastAsia" w:ascii="宋体" w:hAnsi="宋体"/>
          <w:snapToGrid w:val="0"/>
          <w:kern w:val="0"/>
          <w:szCs w:val="21"/>
          <w:highlight w:val="none"/>
        </w:rPr>
        <w:t>2.1 建设地点</w:t>
      </w:r>
      <w:r>
        <w:rPr>
          <w:rFonts w:hint="eastAsia" w:ascii="宋体" w:hAnsi="宋体"/>
          <w:snapToGrid w:val="0"/>
          <w:kern w:val="0"/>
          <w:szCs w:val="21"/>
          <w:highlight w:val="none"/>
          <w:lang w:eastAsia="zh-CN"/>
        </w:rPr>
        <w:t>：</w:t>
      </w:r>
      <w:r>
        <w:rPr>
          <w:rFonts w:hint="eastAsia" w:ascii="宋体" w:hAnsi="宋体" w:eastAsia="宋体" w:cs="宋体"/>
          <w:color w:val="auto"/>
          <w:spacing w:val="8"/>
          <w:sz w:val="20"/>
          <w:szCs w:val="20"/>
          <w:highlight w:val="none"/>
          <w:u w:val="single" w:color="auto"/>
          <w:lang w:val="en-US" w:eastAsia="zh-CN"/>
        </w:rPr>
        <w:t>重庆市铜梁高新区</w:t>
      </w:r>
      <w:r>
        <w:rPr>
          <w:rFonts w:hint="eastAsia" w:ascii="宋体" w:hAnsi="宋体"/>
          <w:snapToGrid w:val="0"/>
          <w:kern w:val="0"/>
          <w:szCs w:val="21"/>
          <w:u w:val="single"/>
        </w:rPr>
        <w:t>。</w:t>
      </w:r>
    </w:p>
    <w:p w14:paraId="018CD38C">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kern w:val="0"/>
          <w:szCs w:val="21"/>
          <w:highlight w:val="none"/>
          <w:lang w:val="en-US" w:eastAsia="zh-CN"/>
        </w:rPr>
      </w:pPr>
      <w:r>
        <w:rPr>
          <w:rFonts w:hint="eastAsia" w:ascii="宋体" w:hAnsi="宋体"/>
          <w:snapToGrid w:val="0"/>
          <w:kern w:val="0"/>
          <w:szCs w:val="21"/>
          <w:highlight w:val="none"/>
        </w:rPr>
        <w:t>2.2 建设规模：</w:t>
      </w:r>
      <w:r>
        <w:rPr>
          <w:rFonts w:hint="eastAsia" w:ascii="宋体" w:hAnsi="宋体"/>
          <w:snapToGrid w:val="0"/>
          <w:kern w:val="0"/>
          <w:szCs w:val="21"/>
          <w:highlight w:val="none"/>
          <w:lang w:val="en-US" w:eastAsia="zh-CN"/>
        </w:rPr>
        <w:t>对滨江新城12栋商品房外墙378个点位的空鼓开裂和车库顶棚梁、板等钢筋外露进行维修，对外墙保温进行加固处理</w:t>
      </w:r>
      <w:r>
        <w:rPr>
          <w:rFonts w:hint="eastAsia" w:ascii="宋体" w:hAnsi="宋体"/>
          <w:snapToGrid w:val="0"/>
          <w:kern w:val="0"/>
          <w:szCs w:val="21"/>
          <w:u w:val="none"/>
          <w:lang w:eastAsia="zh-CN"/>
        </w:rPr>
        <w:t>。</w:t>
      </w:r>
    </w:p>
    <w:p w14:paraId="32F48B9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u w:val="single"/>
          <w:lang w:eastAsia="zh-CN"/>
        </w:rPr>
      </w:pPr>
      <w:r>
        <w:rPr>
          <w:rFonts w:hint="eastAsia" w:ascii="宋体" w:hAnsi="宋体"/>
          <w:snapToGrid w:val="0"/>
          <w:kern w:val="0"/>
          <w:szCs w:val="21"/>
          <w:highlight w:val="none"/>
        </w:rPr>
        <w:t>2.3 本次</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项目合同估算金额：</w:t>
      </w:r>
      <w:r>
        <w:rPr>
          <w:rFonts w:hint="eastAsia" w:ascii="宋体" w:hAnsi="宋体"/>
          <w:snapToGrid w:val="0"/>
          <w:kern w:val="0"/>
          <w:szCs w:val="21"/>
          <w:highlight w:val="none"/>
          <w:u w:val="single"/>
          <w:lang w:val="en-US" w:eastAsia="zh-CN"/>
        </w:rPr>
        <w:t>875836.56元。</w:t>
      </w:r>
    </w:p>
    <w:p w14:paraId="71023A1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none"/>
          <w:lang w:val="en-US" w:eastAsia="zh-CN"/>
        </w:rPr>
      </w:pPr>
      <w:r>
        <w:rPr>
          <w:rFonts w:hint="eastAsia" w:ascii="宋体" w:hAnsi="宋体"/>
          <w:snapToGrid w:val="0"/>
          <w:kern w:val="0"/>
          <w:szCs w:val="21"/>
          <w:highlight w:val="none"/>
        </w:rPr>
        <w:t xml:space="preserve">2.4 </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范围：施工图所示</w:t>
      </w:r>
      <w:r>
        <w:rPr>
          <w:rFonts w:hint="eastAsia" w:ascii="宋体" w:hAnsi="宋体"/>
          <w:snapToGrid w:val="0"/>
          <w:kern w:val="0"/>
          <w:szCs w:val="21"/>
          <w:highlight w:val="none"/>
          <w:lang w:val="en-US" w:eastAsia="zh-CN"/>
        </w:rPr>
        <w:t>范围内的</w:t>
      </w:r>
      <w:r>
        <w:rPr>
          <w:rFonts w:hint="eastAsia" w:ascii="宋体" w:hAnsi="宋体" w:cs="Times New Roman"/>
          <w:snapToGrid w:val="0"/>
          <w:kern w:val="0"/>
          <w:szCs w:val="21"/>
          <w:highlight w:val="none"/>
          <w:lang w:val="en-US" w:eastAsia="zh-CN"/>
        </w:rPr>
        <w:t>工</w:t>
      </w:r>
      <w:r>
        <w:rPr>
          <w:rFonts w:hint="eastAsia" w:ascii="宋体" w:hAnsi="宋体"/>
          <w:snapToGrid w:val="0"/>
          <w:kern w:val="0"/>
          <w:szCs w:val="21"/>
          <w:highlight w:val="none"/>
        </w:rPr>
        <w:t>作内容，具体以</w:t>
      </w:r>
      <w:r>
        <w:rPr>
          <w:rFonts w:hint="eastAsia" w:ascii="宋体" w:hAnsi="宋体"/>
          <w:snapToGrid w:val="0"/>
          <w:kern w:val="0"/>
          <w:szCs w:val="21"/>
          <w:highlight w:val="none"/>
          <w:lang w:eastAsia="zh-CN"/>
        </w:rPr>
        <w:t>比选人</w:t>
      </w:r>
      <w:r>
        <w:rPr>
          <w:rFonts w:hint="eastAsia" w:ascii="宋体" w:hAnsi="宋体"/>
          <w:snapToGrid w:val="0"/>
          <w:kern w:val="0"/>
          <w:szCs w:val="21"/>
          <w:highlight w:val="none"/>
        </w:rPr>
        <w:t>发布的工程量清单为准</w:t>
      </w:r>
      <w:r>
        <w:rPr>
          <w:rFonts w:hint="eastAsia" w:ascii="宋体" w:hAnsi="宋体"/>
          <w:snapToGrid w:val="0"/>
          <w:kern w:val="0"/>
          <w:szCs w:val="21"/>
          <w:highlight w:val="none"/>
          <w:u w:val="none"/>
          <w:lang w:val="en-US" w:eastAsia="zh-CN"/>
        </w:rPr>
        <w:t>。</w:t>
      </w:r>
    </w:p>
    <w:p w14:paraId="5D17A56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rPr>
        <w:t>2.5 工期要求：工期</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120</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日历天，缺陷责任期</w:t>
      </w:r>
      <w:r>
        <w:rPr>
          <w:rFonts w:hint="eastAsia" w:ascii="宋体" w:hAnsi="宋体"/>
          <w:snapToGrid w:val="0"/>
          <w:kern w:val="0"/>
          <w:szCs w:val="21"/>
          <w:highlight w:val="none"/>
          <w:u w:val="single"/>
          <w:lang w:val="en-US" w:eastAsia="zh-CN"/>
        </w:rPr>
        <w:t xml:space="preserve"> 24 </w:t>
      </w:r>
      <w:r>
        <w:rPr>
          <w:rFonts w:hint="eastAsia" w:ascii="宋体" w:hAnsi="宋体"/>
          <w:snapToGrid w:val="0"/>
          <w:kern w:val="0"/>
          <w:szCs w:val="21"/>
          <w:highlight w:val="none"/>
        </w:rPr>
        <w:t>个月</w:t>
      </w:r>
      <w:r>
        <w:rPr>
          <w:rFonts w:hint="eastAsia" w:ascii="宋体" w:hAnsi="宋体"/>
          <w:snapToGrid w:val="0"/>
          <w:kern w:val="0"/>
          <w:szCs w:val="21"/>
          <w:highlight w:val="none"/>
          <w:lang w:eastAsia="zh-CN"/>
        </w:rPr>
        <w:t>。</w:t>
      </w:r>
    </w:p>
    <w:p w14:paraId="2A747FD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rPr>
        <w:t>2.6 标段划分（如有）：</w:t>
      </w:r>
      <w:r>
        <w:rPr>
          <w:rFonts w:hint="eastAsia" w:ascii="宋体" w:hAnsi="宋体" w:cs="MingLiU"/>
          <w:snapToGrid w:val="0"/>
          <w:color w:val="auto"/>
          <w:kern w:val="0"/>
          <w:szCs w:val="21"/>
          <w:highlight w:val="none"/>
          <w:u w:val="single"/>
        </w:rPr>
        <w:t>本次</w:t>
      </w:r>
      <w:r>
        <w:rPr>
          <w:rFonts w:hint="eastAsia" w:ascii="宋体" w:hAnsi="宋体" w:cs="MingLiU"/>
          <w:snapToGrid w:val="0"/>
          <w:color w:val="auto"/>
          <w:kern w:val="0"/>
          <w:szCs w:val="21"/>
          <w:highlight w:val="none"/>
          <w:u w:val="single"/>
          <w:lang w:eastAsia="zh-CN"/>
        </w:rPr>
        <w:t>竞争性比选</w:t>
      </w:r>
      <w:r>
        <w:rPr>
          <w:rFonts w:hint="eastAsia" w:ascii="宋体" w:hAnsi="宋体" w:cs="MingLiU"/>
          <w:snapToGrid w:val="0"/>
          <w:color w:val="auto"/>
          <w:kern w:val="0"/>
          <w:szCs w:val="21"/>
          <w:highlight w:val="none"/>
          <w:u w:val="single"/>
        </w:rPr>
        <w:t>设1个标段</w:t>
      </w:r>
      <w:r>
        <w:rPr>
          <w:rFonts w:hint="eastAsia" w:ascii="宋体" w:hAnsi="宋体" w:cs="MingLiU"/>
          <w:snapToGrid w:val="0"/>
          <w:color w:val="auto"/>
          <w:kern w:val="0"/>
          <w:szCs w:val="21"/>
          <w:highlight w:val="none"/>
          <w:u w:val="single"/>
          <w:lang w:eastAsia="zh-CN"/>
        </w:rPr>
        <w:t>。</w:t>
      </w:r>
    </w:p>
    <w:p w14:paraId="174C3815">
      <w:pPr>
        <w:tabs>
          <w:tab w:val="left" w:pos="3840"/>
          <w:tab w:val="left" w:pos="5300"/>
        </w:tabs>
        <w:autoSpaceDE w:val="0"/>
        <w:autoSpaceDN w:val="0"/>
        <w:adjustRightInd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snapToGrid w:val="0"/>
          <w:kern w:val="0"/>
          <w:szCs w:val="21"/>
          <w:highlight w:val="none"/>
        </w:rPr>
        <w:t>2.7 其他：</w:t>
      </w:r>
      <w:r>
        <w:rPr>
          <w:rFonts w:hint="eastAsia" w:ascii="宋体" w:hAnsi="宋体"/>
          <w:snapToGrid w:val="0"/>
          <w:kern w:val="0"/>
          <w:szCs w:val="21"/>
          <w:highlight w:val="none"/>
          <w:u w:val="single"/>
        </w:rPr>
        <w:t xml:space="preserve">  /  </w:t>
      </w:r>
      <w:r>
        <w:rPr>
          <w:rFonts w:hint="eastAsia" w:ascii="宋体" w:hAnsi="宋体" w:cs="宋体"/>
          <w:color w:val="auto"/>
          <w:kern w:val="0"/>
          <w:szCs w:val="21"/>
          <w:highlight w:val="none"/>
        </w:rPr>
        <w:t>。</w:t>
      </w:r>
    </w:p>
    <w:p w14:paraId="35EC5B7B">
      <w:pPr>
        <w:pStyle w:val="5"/>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3、投标人资格要求</w:t>
      </w:r>
      <w:bookmarkEnd w:id="15"/>
    </w:p>
    <w:p w14:paraId="419FC87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rPr>
      </w:pPr>
      <w:bookmarkStart w:id="16" w:name="_Toc452058676"/>
      <w:r>
        <w:rPr>
          <w:rFonts w:ascii="宋体" w:hAnsi="宋体"/>
          <w:snapToGrid w:val="0"/>
          <w:kern w:val="0"/>
          <w:szCs w:val="21"/>
          <w:highlight w:val="none"/>
        </w:rPr>
        <w:t>3.1  本次</w:t>
      </w:r>
      <w:r>
        <w:rPr>
          <w:rFonts w:hint="eastAsia" w:ascii="宋体" w:hAnsi="宋体"/>
          <w:snapToGrid w:val="0"/>
          <w:kern w:val="0"/>
          <w:szCs w:val="21"/>
          <w:highlight w:val="none"/>
          <w:lang w:eastAsia="zh-CN"/>
        </w:rPr>
        <w:t>竞争性比选</w:t>
      </w:r>
      <w:r>
        <w:rPr>
          <w:rFonts w:ascii="宋体" w:hAnsi="宋体"/>
          <w:snapToGrid w:val="0"/>
          <w:kern w:val="0"/>
          <w:szCs w:val="21"/>
          <w:highlight w:val="none"/>
        </w:rPr>
        <w:t>要求投标人须具备</w:t>
      </w:r>
      <w:r>
        <w:rPr>
          <w:rFonts w:hint="eastAsia" w:ascii="宋体" w:hAnsi="宋体"/>
          <w:snapToGrid w:val="0"/>
          <w:kern w:val="0"/>
          <w:szCs w:val="21"/>
          <w:highlight w:val="none"/>
        </w:rPr>
        <w:t>以下条件：</w:t>
      </w:r>
    </w:p>
    <w:p w14:paraId="7347F35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single"/>
        </w:rPr>
      </w:pPr>
      <w:r>
        <w:rPr>
          <w:rFonts w:hint="eastAsia" w:ascii="宋体" w:hAnsi="宋体"/>
          <w:snapToGrid w:val="0"/>
          <w:kern w:val="0"/>
          <w:szCs w:val="21"/>
          <w:highlight w:val="none"/>
        </w:rPr>
        <w:t>3.1.1 本次</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要求投标人具备的资质条件：</w:t>
      </w:r>
      <w:r>
        <w:rPr>
          <w:rFonts w:hint="eastAsia" w:ascii="宋体" w:hAnsi="宋体"/>
          <w:snapToGrid w:val="0"/>
          <w:kern w:val="0"/>
          <w:szCs w:val="21"/>
          <w:highlight w:val="none"/>
          <w:lang w:val="en-US" w:eastAsia="zh-CN"/>
        </w:rPr>
        <w:t>须同时具备建设行政主管部门颁发的有效的</w:t>
      </w:r>
      <w:r>
        <w:rPr>
          <w:rFonts w:hint="eastAsia" w:ascii="宋体" w:hAnsi="宋体"/>
          <w:b/>
          <w:bCs/>
          <w:snapToGrid w:val="0"/>
          <w:kern w:val="0"/>
          <w:szCs w:val="21"/>
          <w:highlight w:val="none"/>
          <w:u w:val="single"/>
          <w:lang w:val="en-US" w:eastAsia="zh-CN"/>
        </w:rPr>
        <w:t>建筑工程施工总承包贰级及以上资质</w:t>
      </w:r>
      <w:r>
        <w:rPr>
          <w:rFonts w:hint="eastAsia" w:ascii="宋体" w:hAnsi="宋体"/>
          <w:snapToGrid w:val="0"/>
          <w:kern w:val="0"/>
          <w:szCs w:val="21"/>
          <w:highlight w:val="none"/>
          <w:lang w:val="en-US" w:eastAsia="zh-CN"/>
        </w:rPr>
        <w:t>，并在人员、设备、资金等方面具有相应的施工能力</w:t>
      </w:r>
      <w:r>
        <w:rPr>
          <w:rFonts w:hint="eastAsia" w:ascii="宋体" w:hAnsi="宋体"/>
          <w:snapToGrid w:val="0"/>
          <w:kern w:val="0"/>
          <w:szCs w:val="21"/>
          <w:highlight w:val="none"/>
          <w:u w:val="none"/>
        </w:rPr>
        <w:t>；</w:t>
      </w:r>
    </w:p>
    <w:p w14:paraId="484B031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3.1.2 本次</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要求投标人具备的业绩条件：</w:t>
      </w:r>
      <w:r>
        <w:rPr>
          <w:rFonts w:hint="eastAsia" w:ascii="宋体" w:hAnsi="宋体"/>
          <w:snapToGrid w:val="0"/>
          <w:kern w:val="0"/>
          <w:szCs w:val="21"/>
          <w:highlight w:val="none"/>
          <w:u w:val="single"/>
        </w:rPr>
        <w:t xml:space="preserve">   /     </w:t>
      </w:r>
      <w:r>
        <w:rPr>
          <w:rFonts w:hint="eastAsia" w:ascii="宋体" w:hAnsi="宋体"/>
          <w:snapToGrid w:val="0"/>
          <w:kern w:val="0"/>
          <w:szCs w:val="21"/>
          <w:highlight w:val="none"/>
        </w:rPr>
        <w:t>；</w:t>
      </w:r>
    </w:p>
    <w:p w14:paraId="2B81477A">
      <w:pPr>
        <w:tabs>
          <w:tab w:val="left" w:pos="3840"/>
          <w:tab w:val="left" w:pos="5300"/>
        </w:tabs>
        <w:autoSpaceDE w:val="0"/>
        <w:autoSpaceDN w:val="0"/>
        <w:adjustRightInd w:val="0"/>
        <w:snapToGrid w:val="0"/>
        <w:spacing w:line="460" w:lineRule="exact"/>
        <w:ind w:firstLine="420" w:firstLineChars="200"/>
        <w:jc w:val="left"/>
      </w:pPr>
      <w:r>
        <w:rPr>
          <w:rFonts w:hint="eastAsia" w:ascii="宋体" w:hAnsi="宋体"/>
          <w:snapToGrid w:val="0"/>
          <w:kern w:val="0"/>
          <w:szCs w:val="21"/>
          <w:highlight w:val="none"/>
        </w:rPr>
        <w:t>3.1.3 投标人还应在人员、设备、资金等方面具有相应的施工能力，详见</w:t>
      </w:r>
      <w:r>
        <w:rPr>
          <w:rFonts w:hint="eastAsia" w:ascii="宋体" w:hAnsi="宋体"/>
          <w:snapToGrid w:val="0"/>
          <w:kern w:val="0"/>
          <w:szCs w:val="21"/>
          <w:highlight w:val="none"/>
          <w:lang w:eastAsia="zh-CN"/>
        </w:rPr>
        <w:t>比选文件</w:t>
      </w:r>
      <w:r>
        <w:rPr>
          <w:rFonts w:hint="eastAsia" w:ascii="宋体" w:hAnsi="宋体"/>
          <w:snapToGrid w:val="0"/>
          <w:kern w:val="0"/>
          <w:szCs w:val="21"/>
          <w:highlight w:val="none"/>
        </w:rPr>
        <w:t>第二章投标人须知前附表第1.4.1条内容。</w:t>
      </w:r>
    </w:p>
    <w:p w14:paraId="5DA74EC2">
      <w:pPr>
        <w:autoSpaceDE w:val="0"/>
        <w:autoSpaceDN w:val="0"/>
        <w:adjustRightInd w:val="0"/>
        <w:snapToGrid w:val="0"/>
        <w:spacing w:line="300" w:lineRule="exact"/>
        <w:ind w:firstLine="420"/>
        <w:jc w:val="left"/>
        <w:rPr>
          <w:rFonts w:ascii="宋体" w:hAnsi="宋体" w:cs="MingLiU"/>
          <w:color w:val="auto"/>
          <w:kern w:val="0"/>
          <w:highlight w:val="none"/>
        </w:rPr>
      </w:pPr>
      <w:r>
        <w:rPr>
          <w:rFonts w:ascii="宋体" w:hAnsi="宋体"/>
          <w:snapToGrid w:val="0"/>
          <w:kern w:val="0"/>
          <w:szCs w:val="21"/>
          <w:highlight w:val="none"/>
        </w:rPr>
        <w:t>3.2  本次</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不接受</w:t>
      </w:r>
      <w:r>
        <w:rPr>
          <w:rFonts w:ascii="宋体" w:hAnsi="宋体"/>
          <w:snapToGrid w:val="0"/>
          <w:kern w:val="0"/>
          <w:szCs w:val="21"/>
          <w:highlight w:val="none"/>
        </w:rPr>
        <w:t>联合体投标</w:t>
      </w:r>
      <w:r>
        <w:rPr>
          <w:rFonts w:hint="eastAsia" w:ascii="宋体" w:hAnsi="宋体" w:cs="MingLiU"/>
          <w:color w:val="auto"/>
          <w:kern w:val="0"/>
          <w:highlight w:val="none"/>
        </w:rPr>
        <w:t>。</w:t>
      </w:r>
    </w:p>
    <w:p w14:paraId="2FC1B237">
      <w:pPr>
        <w:pStyle w:val="5"/>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4、比选文件的获取</w:t>
      </w:r>
      <w:bookmarkEnd w:id="16"/>
    </w:p>
    <w:p w14:paraId="1D44CDE3">
      <w:pPr>
        <w:tabs>
          <w:tab w:val="left" w:pos="5140"/>
          <w:tab w:val="left" w:pos="8520"/>
        </w:tabs>
        <w:autoSpaceDE w:val="0"/>
        <w:autoSpaceDN w:val="0"/>
        <w:adjustRightInd w:val="0"/>
        <w:snapToGrid w:val="0"/>
        <w:spacing w:line="420" w:lineRule="exact"/>
        <w:ind w:firstLine="420" w:firstLineChars="200"/>
        <w:jc w:val="left"/>
        <w:rPr>
          <w:rFonts w:hint="eastAsia" w:ascii="宋体" w:hAnsi="宋体" w:cs="MingLiU"/>
          <w:color w:val="auto"/>
          <w:kern w:val="0"/>
          <w:szCs w:val="22"/>
          <w:highlight w:val="none"/>
        </w:rPr>
      </w:pPr>
      <w:bookmarkStart w:id="17" w:name="_Toc452058677"/>
      <w:r>
        <w:rPr>
          <w:rFonts w:hint="eastAsia" w:ascii="宋体" w:hAnsi="宋体"/>
          <w:color w:val="auto"/>
          <w:kern w:val="0"/>
          <w:highlight w:val="none"/>
        </w:rPr>
        <w:t>4.1获取时间及获取方式：凡有意参加投标的投标人，请</w:t>
      </w:r>
      <w:r>
        <w:rPr>
          <w:rFonts w:hint="eastAsia" w:ascii="宋体" w:hAnsi="宋体"/>
          <w:color w:val="auto"/>
          <w:kern w:val="0"/>
          <w:highlight w:val="none"/>
          <w:lang w:val="en-US" w:eastAsia="zh-CN"/>
        </w:rPr>
        <w:t>自行在重庆市公共资源交易网（铜梁区）（http://www.cqggzy.com/tongliangweb/、重庆绅鹏实业开发有限公司官网（</w:t>
      </w:r>
      <w:r>
        <w:rPr>
          <w:rFonts w:hint="eastAsia" w:ascii="宋体" w:hAnsi="宋体"/>
          <w:color w:val="auto"/>
          <w:kern w:val="0"/>
          <w:highlight w:val="none"/>
          <w:lang w:val="en-US" w:eastAsia="zh-CN"/>
        </w:rPr>
        <w:fldChar w:fldCharType="begin"/>
      </w:r>
      <w:r>
        <w:rPr>
          <w:rFonts w:hint="eastAsia" w:ascii="宋体" w:hAnsi="宋体"/>
          <w:color w:val="auto"/>
          <w:kern w:val="0"/>
          <w:highlight w:val="none"/>
          <w:lang w:val="en-US" w:eastAsia="zh-CN"/>
        </w:rPr>
        <w:instrText xml:space="preserve"> HYPERLINK "http://www.cqshenpeng.com/" \t "_blank" </w:instrText>
      </w:r>
      <w:r>
        <w:rPr>
          <w:rFonts w:hint="eastAsia" w:ascii="宋体" w:hAnsi="宋体"/>
          <w:color w:val="auto"/>
          <w:kern w:val="0"/>
          <w:highlight w:val="none"/>
          <w:lang w:val="en-US" w:eastAsia="zh-CN"/>
        </w:rPr>
        <w:fldChar w:fldCharType="separate"/>
      </w:r>
      <w:r>
        <w:rPr>
          <w:rFonts w:hint="eastAsia" w:ascii="宋体" w:hAnsi="宋体"/>
          <w:color w:val="auto"/>
          <w:kern w:val="0"/>
          <w:highlight w:val="none"/>
          <w:lang w:val="en-US" w:eastAsia="zh-CN"/>
        </w:rPr>
        <w:t>http://www.cqshenpeng.com</w:t>
      </w:r>
      <w:r>
        <w:rPr>
          <w:rFonts w:hint="eastAsia" w:ascii="宋体" w:hAnsi="宋体"/>
          <w:color w:val="auto"/>
          <w:kern w:val="0"/>
          <w:highlight w:val="none"/>
          <w:lang w:val="en-US" w:eastAsia="zh-CN"/>
        </w:rPr>
        <w:fldChar w:fldCharType="end"/>
      </w:r>
      <w:r>
        <w:rPr>
          <w:rFonts w:hint="eastAsia" w:ascii="宋体" w:hAnsi="宋体"/>
          <w:color w:val="auto"/>
          <w:kern w:val="0"/>
          <w:highlight w:val="none"/>
          <w:lang w:val="en-US" w:eastAsia="zh-CN"/>
        </w:rPr>
        <w:t>/）上下载比选文件等相关资料</w:t>
      </w:r>
      <w:r>
        <w:rPr>
          <w:rFonts w:hint="eastAsia" w:ascii="宋体" w:hAnsi="宋体"/>
          <w:color w:val="auto"/>
          <w:kern w:val="0"/>
          <w:highlight w:val="none"/>
        </w:rPr>
        <w:t>。</w:t>
      </w:r>
    </w:p>
    <w:p w14:paraId="6F57A680">
      <w:pPr>
        <w:adjustRightInd w:val="0"/>
        <w:snapToGrid w:val="0"/>
        <w:spacing w:line="400" w:lineRule="exact"/>
        <w:ind w:firstLine="420" w:firstLineChars="200"/>
        <w:rPr>
          <w:rFonts w:ascii="宋体" w:hAnsi="宋体"/>
          <w:color w:val="auto"/>
          <w:kern w:val="0"/>
          <w:highlight w:val="none"/>
        </w:rPr>
      </w:pPr>
      <w:r>
        <w:rPr>
          <w:rFonts w:hint="eastAsia" w:ascii="宋体" w:hAnsi="宋体" w:cs="MingLiU"/>
          <w:color w:val="auto"/>
          <w:kern w:val="0"/>
          <w:szCs w:val="22"/>
          <w:highlight w:val="none"/>
        </w:rPr>
        <w:t>4.2本公告开始发布至投标截止时间止，各投标人应随</w:t>
      </w:r>
      <w:r>
        <w:rPr>
          <w:rFonts w:hint="eastAsia" w:ascii="宋体" w:hAnsi="宋体"/>
          <w:color w:val="auto"/>
          <w:kern w:val="0"/>
          <w:highlight w:val="none"/>
        </w:rPr>
        <w:t>时关注</w:t>
      </w:r>
      <w:r>
        <w:rPr>
          <w:rFonts w:hint="eastAsia" w:ascii="宋体" w:hAnsi="宋体"/>
          <w:color w:val="auto"/>
          <w:kern w:val="0"/>
          <w:highlight w:val="none"/>
          <w:lang w:val="en-US" w:eastAsia="zh-CN"/>
        </w:rPr>
        <w:t>重庆市公共资源交易网（铜梁区）（http://www.cqggzy.com/tongliangweb/）、重庆绅鹏实业开发有限公司官网（http://www.cqshenpeng.com/）上</w:t>
      </w:r>
      <w:r>
        <w:rPr>
          <w:rFonts w:hint="eastAsia" w:ascii="宋体" w:hAnsi="宋体"/>
          <w:color w:val="auto"/>
          <w:kern w:val="0"/>
          <w:highlight w:val="none"/>
        </w:rPr>
        <w:t>关于本招标项目相关修改或补充内容。</w:t>
      </w:r>
    </w:p>
    <w:p w14:paraId="712B47E1">
      <w:pPr>
        <w:pStyle w:val="5"/>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5、投标文件的递交</w:t>
      </w:r>
      <w:bookmarkEnd w:id="17"/>
    </w:p>
    <w:p w14:paraId="06959F6B">
      <w:pPr>
        <w:spacing w:line="300" w:lineRule="exact"/>
        <w:ind w:firstLine="420" w:firstLineChars="200"/>
        <w:rPr>
          <w:rFonts w:hint="eastAsia" w:ascii="宋体" w:hAnsi="宋体" w:eastAsia="宋体" w:cs="MingLiU"/>
          <w:snapToGrid w:val="0"/>
          <w:color w:val="auto"/>
          <w:kern w:val="0"/>
          <w:szCs w:val="21"/>
          <w:highlight w:val="none"/>
          <w:lang w:eastAsia="zh-CN"/>
        </w:rPr>
      </w:pPr>
      <w:bookmarkStart w:id="18" w:name="_Toc452058678"/>
      <w:r>
        <w:rPr>
          <w:rFonts w:ascii="宋体" w:hAnsi="宋体"/>
          <w:snapToGrid w:val="0"/>
          <w:color w:val="auto"/>
          <w:kern w:val="0"/>
          <w:szCs w:val="21"/>
          <w:highlight w:val="none"/>
        </w:rPr>
        <w:t xml:space="preserve">5.1 </w:t>
      </w:r>
      <w:r>
        <w:rPr>
          <w:rFonts w:hint="eastAsia" w:ascii="宋体" w:hAnsi="宋体" w:cs="MingLiU"/>
          <w:snapToGrid w:val="0"/>
          <w:color w:val="auto"/>
          <w:kern w:val="0"/>
          <w:szCs w:val="21"/>
          <w:highlight w:val="none"/>
        </w:rPr>
        <w:t>投标文件递交时间为</w:t>
      </w:r>
      <w:r>
        <w:rPr>
          <w:rFonts w:hint="eastAsia" w:ascii="宋体" w:hAnsi="宋体" w:cs="MingLiU"/>
          <w:color w:val="auto"/>
          <w:kern w:val="0"/>
          <w:szCs w:val="22"/>
          <w:highlight w:val="none"/>
          <w:lang w:val="en-US" w:eastAsia="zh-CN"/>
        </w:rPr>
        <w:t>2025</w:t>
      </w:r>
      <w:r>
        <w:rPr>
          <w:rFonts w:hint="eastAsia" w:ascii="宋体" w:hAnsi="宋体" w:cs="MingLiU"/>
          <w:color w:val="auto"/>
          <w:kern w:val="0"/>
          <w:szCs w:val="22"/>
          <w:highlight w:val="none"/>
        </w:rPr>
        <w:t>年</w:t>
      </w:r>
      <w:r>
        <w:rPr>
          <w:rFonts w:hint="eastAsia" w:ascii="宋体" w:hAnsi="宋体" w:cs="MingLiU"/>
          <w:color w:val="auto"/>
          <w:kern w:val="0"/>
          <w:szCs w:val="22"/>
          <w:highlight w:val="none"/>
          <w:lang w:val="en-US" w:eastAsia="zh-CN"/>
        </w:rPr>
        <w:t>8</w:t>
      </w:r>
      <w:r>
        <w:rPr>
          <w:rFonts w:hint="eastAsia" w:ascii="宋体" w:hAnsi="宋体" w:cs="MingLiU"/>
          <w:color w:val="auto"/>
          <w:kern w:val="0"/>
          <w:szCs w:val="22"/>
          <w:highlight w:val="none"/>
        </w:rPr>
        <w:t>月</w:t>
      </w:r>
      <w:r>
        <w:rPr>
          <w:rFonts w:hint="eastAsia" w:ascii="宋体" w:hAnsi="宋体" w:cs="MingLiU"/>
          <w:color w:val="auto"/>
          <w:kern w:val="0"/>
          <w:szCs w:val="22"/>
          <w:highlight w:val="none"/>
          <w:lang w:val="en-US" w:eastAsia="zh-CN"/>
        </w:rPr>
        <w:t>19</w:t>
      </w:r>
      <w:r>
        <w:rPr>
          <w:rFonts w:hint="eastAsia" w:ascii="宋体" w:hAnsi="宋体" w:cs="MingLiU"/>
          <w:color w:val="auto"/>
          <w:kern w:val="0"/>
          <w:szCs w:val="22"/>
          <w:highlight w:val="none"/>
        </w:rPr>
        <w:t>日</w:t>
      </w:r>
      <w:r>
        <w:rPr>
          <w:rFonts w:hint="eastAsia" w:ascii="宋体" w:hAnsi="宋体" w:cs="MingLiU"/>
          <w:color w:val="auto"/>
          <w:kern w:val="0"/>
          <w:szCs w:val="22"/>
          <w:highlight w:val="none"/>
          <w:lang w:val="en-US" w:eastAsia="zh-CN"/>
        </w:rPr>
        <w:t>9</w:t>
      </w:r>
      <w:r>
        <w:rPr>
          <w:rFonts w:hint="eastAsia" w:ascii="宋体" w:hAnsi="宋体" w:cs="MingLiU"/>
          <w:color w:val="auto"/>
          <w:kern w:val="0"/>
          <w:szCs w:val="22"/>
          <w:highlight w:val="none"/>
        </w:rPr>
        <w:t>时</w:t>
      </w:r>
      <w:r>
        <w:rPr>
          <w:rFonts w:hint="eastAsia" w:ascii="宋体" w:hAnsi="宋体" w:cs="MingLiU"/>
          <w:color w:val="auto"/>
          <w:kern w:val="0"/>
          <w:szCs w:val="22"/>
          <w:highlight w:val="none"/>
          <w:lang w:val="en-US" w:eastAsia="zh-CN"/>
        </w:rPr>
        <w:t xml:space="preserve"> 00 </w:t>
      </w:r>
      <w:r>
        <w:rPr>
          <w:rFonts w:hint="eastAsia" w:ascii="宋体" w:hAnsi="宋体" w:cs="MingLiU"/>
          <w:color w:val="auto"/>
          <w:kern w:val="0"/>
          <w:szCs w:val="22"/>
          <w:highlight w:val="none"/>
        </w:rPr>
        <w:t>分至</w:t>
      </w:r>
      <w:r>
        <w:rPr>
          <w:rFonts w:hint="eastAsia" w:ascii="宋体" w:hAnsi="宋体" w:cs="MingLiU"/>
          <w:color w:val="auto"/>
          <w:kern w:val="0"/>
          <w:szCs w:val="22"/>
          <w:highlight w:val="none"/>
          <w:lang w:val="en-US" w:eastAsia="zh-CN"/>
        </w:rPr>
        <w:t>2025</w:t>
      </w:r>
      <w:r>
        <w:rPr>
          <w:rFonts w:hint="eastAsia" w:ascii="宋体" w:hAnsi="宋体" w:cs="MingLiU"/>
          <w:color w:val="auto"/>
          <w:kern w:val="0"/>
          <w:szCs w:val="22"/>
          <w:highlight w:val="none"/>
        </w:rPr>
        <w:t>年</w:t>
      </w:r>
      <w:r>
        <w:rPr>
          <w:rFonts w:hint="eastAsia" w:ascii="宋体" w:hAnsi="宋体" w:cs="MingLiU"/>
          <w:color w:val="auto"/>
          <w:kern w:val="0"/>
          <w:szCs w:val="22"/>
          <w:highlight w:val="none"/>
          <w:lang w:val="en-US" w:eastAsia="zh-CN"/>
        </w:rPr>
        <w:t>8</w:t>
      </w:r>
      <w:r>
        <w:rPr>
          <w:rFonts w:hint="eastAsia" w:ascii="宋体" w:hAnsi="宋体" w:cs="MingLiU"/>
          <w:color w:val="auto"/>
          <w:kern w:val="0"/>
          <w:szCs w:val="22"/>
          <w:highlight w:val="none"/>
        </w:rPr>
        <w:t>月</w:t>
      </w:r>
      <w:r>
        <w:rPr>
          <w:rFonts w:hint="eastAsia" w:ascii="宋体" w:hAnsi="宋体" w:cs="MingLiU"/>
          <w:color w:val="auto"/>
          <w:kern w:val="0"/>
          <w:szCs w:val="22"/>
          <w:highlight w:val="none"/>
          <w:lang w:val="en-US" w:eastAsia="zh-CN"/>
        </w:rPr>
        <w:t>19</w:t>
      </w:r>
      <w:r>
        <w:rPr>
          <w:rFonts w:hint="eastAsia" w:ascii="宋体" w:hAnsi="宋体" w:cs="MingLiU"/>
          <w:color w:val="auto"/>
          <w:kern w:val="0"/>
          <w:szCs w:val="22"/>
          <w:highlight w:val="none"/>
        </w:rPr>
        <w:t>日</w:t>
      </w:r>
      <w:r>
        <w:rPr>
          <w:rFonts w:hint="eastAsia" w:ascii="宋体" w:hAnsi="宋体" w:cs="MingLiU"/>
          <w:color w:val="auto"/>
          <w:kern w:val="0"/>
          <w:szCs w:val="22"/>
          <w:highlight w:val="none"/>
          <w:lang w:val="en-US" w:eastAsia="zh-CN"/>
        </w:rPr>
        <w:t>9</w:t>
      </w:r>
      <w:r>
        <w:rPr>
          <w:rFonts w:hint="eastAsia" w:ascii="宋体" w:hAnsi="宋体" w:cs="MingLiU"/>
          <w:color w:val="auto"/>
          <w:kern w:val="0"/>
          <w:szCs w:val="22"/>
          <w:highlight w:val="none"/>
        </w:rPr>
        <w:t>时</w:t>
      </w:r>
      <w:r>
        <w:rPr>
          <w:rFonts w:hint="eastAsia" w:ascii="宋体" w:hAnsi="宋体" w:cs="MingLiU"/>
          <w:color w:val="auto"/>
          <w:kern w:val="0"/>
          <w:szCs w:val="22"/>
          <w:highlight w:val="none"/>
          <w:lang w:val="en-US" w:eastAsia="zh-CN"/>
        </w:rPr>
        <w:t xml:space="preserve"> 30 </w:t>
      </w:r>
      <w:r>
        <w:rPr>
          <w:rFonts w:hint="eastAsia" w:ascii="宋体" w:hAnsi="宋体" w:cs="MingLiU"/>
          <w:color w:val="auto"/>
          <w:kern w:val="0"/>
          <w:szCs w:val="22"/>
          <w:highlight w:val="none"/>
        </w:rPr>
        <w:t>分，投标文件递交的截止时间（投标截止时间，下同）为</w:t>
      </w:r>
      <w:r>
        <w:rPr>
          <w:rFonts w:hint="eastAsia" w:ascii="宋体" w:hAnsi="宋体" w:cs="MingLiU"/>
          <w:color w:val="auto"/>
          <w:kern w:val="0"/>
          <w:szCs w:val="22"/>
          <w:highlight w:val="none"/>
          <w:lang w:val="en-US" w:eastAsia="zh-CN"/>
        </w:rPr>
        <w:t>2025</w:t>
      </w:r>
      <w:r>
        <w:rPr>
          <w:rFonts w:hint="eastAsia" w:ascii="宋体" w:hAnsi="宋体" w:cs="MingLiU"/>
          <w:color w:val="auto"/>
          <w:kern w:val="0"/>
          <w:szCs w:val="22"/>
          <w:highlight w:val="none"/>
        </w:rPr>
        <w:t>年</w:t>
      </w:r>
      <w:r>
        <w:rPr>
          <w:rFonts w:hint="eastAsia" w:ascii="宋体" w:hAnsi="宋体" w:cs="MingLiU"/>
          <w:color w:val="auto"/>
          <w:kern w:val="0"/>
          <w:szCs w:val="22"/>
          <w:highlight w:val="none"/>
          <w:lang w:val="en-US" w:eastAsia="zh-CN"/>
        </w:rPr>
        <w:t xml:space="preserve"> 8</w:t>
      </w:r>
      <w:r>
        <w:rPr>
          <w:rFonts w:hint="eastAsia" w:ascii="宋体" w:hAnsi="宋体" w:cs="MingLiU"/>
          <w:color w:val="auto"/>
          <w:kern w:val="0"/>
          <w:szCs w:val="22"/>
          <w:highlight w:val="none"/>
        </w:rPr>
        <w:t>月</w:t>
      </w:r>
      <w:r>
        <w:rPr>
          <w:rFonts w:hint="eastAsia" w:ascii="宋体" w:hAnsi="宋体" w:cs="MingLiU"/>
          <w:color w:val="auto"/>
          <w:kern w:val="0"/>
          <w:szCs w:val="22"/>
          <w:highlight w:val="none"/>
          <w:lang w:val="en-US" w:eastAsia="zh-CN"/>
        </w:rPr>
        <w:t>19</w:t>
      </w:r>
      <w:r>
        <w:rPr>
          <w:rFonts w:hint="eastAsia" w:ascii="宋体" w:hAnsi="宋体" w:cs="MingLiU"/>
          <w:color w:val="auto"/>
          <w:kern w:val="0"/>
          <w:szCs w:val="22"/>
          <w:highlight w:val="none"/>
        </w:rPr>
        <w:t>日</w:t>
      </w:r>
      <w:r>
        <w:rPr>
          <w:rFonts w:hint="eastAsia" w:ascii="宋体" w:hAnsi="宋体" w:cs="MingLiU"/>
          <w:color w:val="auto"/>
          <w:kern w:val="0"/>
          <w:szCs w:val="22"/>
          <w:highlight w:val="none"/>
          <w:lang w:val="en-US" w:eastAsia="zh-CN"/>
        </w:rPr>
        <w:t>9</w:t>
      </w:r>
      <w:r>
        <w:rPr>
          <w:rFonts w:hint="eastAsia" w:ascii="宋体" w:hAnsi="宋体" w:cs="MingLiU"/>
          <w:color w:val="auto"/>
          <w:kern w:val="0"/>
          <w:szCs w:val="22"/>
          <w:highlight w:val="none"/>
        </w:rPr>
        <w:t>时</w:t>
      </w:r>
      <w:r>
        <w:rPr>
          <w:rFonts w:hint="eastAsia" w:ascii="宋体" w:hAnsi="宋体" w:cs="MingLiU"/>
          <w:color w:val="auto"/>
          <w:kern w:val="0"/>
          <w:szCs w:val="22"/>
          <w:highlight w:val="none"/>
          <w:lang w:val="en-US" w:eastAsia="zh-CN"/>
        </w:rPr>
        <w:t>30</w:t>
      </w:r>
      <w:r>
        <w:rPr>
          <w:rFonts w:hint="eastAsia" w:ascii="宋体" w:hAnsi="宋体" w:cs="MingLiU"/>
          <w:color w:val="auto"/>
          <w:kern w:val="0"/>
          <w:szCs w:val="22"/>
          <w:highlight w:val="none"/>
        </w:rPr>
        <w:t xml:space="preserve">分， </w:t>
      </w:r>
      <w:r>
        <w:rPr>
          <w:rFonts w:hint="eastAsia" w:ascii="宋体" w:hAnsi="宋体" w:cs="MingLiU"/>
          <w:snapToGrid w:val="0"/>
          <w:color w:val="auto"/>
          <w:kern w:val="0"/>
          <w:szCs w:val="21"/>
          <w:highlight w:val="none"/>
        </w:rPr>
        <w:t>地点为重庆市公共资源交易中心铜梁分中心铜梁区开标室216</w:t>
      </w:r>
      <w:r>
        <w:rPr>
          <w:rFonts w:hint="eastAsia" w:ascii="宋体" w:hAnsi="宋体" w:cs="MingLiU"/>
          <w:snapToGrid w:val="0"/>
          <w:color w:val="auto"/>
          <w:kern w:val="0"/>
          <w:szCs w:val="21"/>
          <w:highlight w:val="none"/>
          <w:lang w:eastAsia="zh-CN"/>
        </w:rPr>
        <w:t>。</w:t>
      </w:r>
    </w:p>
    <w:p w14:paraId="2F61576A">
      <w:pPr>
        <w:autoSpaceDE w:val="0"/>
        <w:autoSpaceDN w:val="0"/>
        <w:adjustRightInd w:val="0"/>
        <w:snapToGrid w:val="0"/>
        <w:spacing w:line="300" w:lineRule="exact"/>
        <w:ind w:firstLine="420" w:firstLineChars="20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5.2 </w:t>
      </w:r>
      <w:r>
        <w:rPr>
          <w:rFonts w:hint="eastAsia" w:ascii="宋体" w:hAnsi="宋体" w:cs="MingLiU"/>
          <w:snapToGrid w:val="0"/>
          <w:color w:val="auto"/>
          <w:kern w:val="0"/>
          <w:szCs w:val="21"/>
          <w:highlight w:val="none"/>
        </w:rPr>
        <w:t>逾期送达的或者未送达指定地点的投标文件，比选人不予受理。</w:t>
      </w:r>
    </w:p>
    <w:p w14:paraId="597E67E5">
      <w:pPr>
        <w:pStyle w:val="5"/>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6、发布公告的媒介</w:t>
      </w:r>
      <w:bookmarkEnd w:id="18"/>
    </w:p>
    <w:p w14:paraId="4CD2E2B1">
      <w:pPr>
        <w:spacing w:line="3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本次比选公告在</w:t>
      </w:r>
      <w:r>
        <w:rPr>
          <w:rFonts w:hint="eastAsia" w:ascii="宋体" w:hAnsi="宋体" w:cs="宋体"/>
          <w:color w:val="auto"/>
          <w:kern w:val="0"/>
          <w:szCs w:val="21"/>
          <w:highlight w:val="none"/>
          <w:lang w:val="en-US" w:eastAsia="zh-CN"/>
        </w:rPr>
        <w:t>重庆市公共资源交易网（铜梁区）（http://www.cqggzy.com/tongliangweb/）、</w:t>
      </w:r>
      <w:r>
        <w:rPr>
          <w:rFonts w:hint="eastAsia" w:ascii="宋体" w:hAnsi="宋体"/>
          <w:color w:val="auto"/>
          <w:kern w:val="0"/>
          <w:highlight w:val="none"/>
          <w:lang w:val="en-US" w:eastAsia="zh-CN"/>
        </w:rPr>
        <w:t>重庆绅鹏实业开发有限公司官网（http://www.cqshenpeng.com/）</w:t>
      </w:r>
      <w:r>
        <w:rPr>
          <w:rFonts w:hint="eastAsia" w:ascii="宋体" w:hAnsi="宋体" w:cs="宋体"/>
          <w:color w:val="auto"/>
          <w:kern w:val="0"/>
          <w:szCs w:val="21"/>
          <w:highlight w:val="none"/>
        </w:rPr>
        <w:t>上发布。</w:t>
      </w:r>
    </w:p>
    <w:p w14:paraId="72E834FF">
      <w:pPr>
        <w:pStyle w:val="5"/>
        <w:spacing w:before="0" w:after="0" w:line="300" w:lineRule="exact"/>
        <w:rPr>
          <w:rFonts w:hint="eastAsia" w:ascii="宋体" w:hAnsi="宋体"/>
          <w:snapToGrid w:val="0"/>
          <w:color w:val="auto"/>
          <w:sz w:val="24"/>
          <w:szCs w:val="24"/>
          <w:highlight w:val="none"/>
        </w:rPr>
      </w:pPr>
      <w:bookmarkStart w:id="19" w:name="_Toc452058679"/>
    </w:p>
    <w:p w14:paraId="426C8C7B">
      <w:pPr>
        <w:pStyle w:val="5"/>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7、联系方式</w:t>
      </w:r>
      <w:bookmarkEnd w:id="19"/>
    </w:p>
    <w:p w14:paraId="6B639F17">
      <w:pPr>
        <w:spacing w:line="300" w:lineRule="exact"/>
        <w:ind w:firstLine="420" w:firstLineChars="200"/>
        <w:rPr>
          <w:rFonts w:ascii="宋体" w:hAnsi="宋体"/>
          <w:snapToGrid w:val="0"/>
          <w:kern w:val="0"/>
          <w:szCs w:val="21"/>
        </w:rPr>
      </w:pPr>
      <w:bookmarkStart w:id="20" w:name="_Toc224103315"/>
      <w:bookmarkStart w:id="21" w:name="_Toc24949"/>
      <w:bookmarkStart w:id="22" w:name="_Toc287607744"/>
      <w:bookmarkStart w:id="23" w:name="_Toc15706"/>
      <w:bookmarkStart w:id="24" w:name="_Toc13425"/>
      <w:r>
        <w:rPr>
          <w:rFonts w:hint="eastAsia" w:ascii="宋体" w:hAnsi="宋体" w:cs="宋体"/>
          <w:color w:val="auto"/>
          <w:kern w:val="0"/>
          <w:szCs w:val="21"/>
          <w:highlight w:val="none"/>
        </w:rPr>
        <w:t>比选人：</w:t>
      </w:r>
      <w:r>
        <w:rPr>
          <w:rFonts w:hint="eastAsia" w:ascii="宋体" w:hAnsi="宋体"/>
          <w:snapToGrid w:val="0"/>
          <w:kern w:val="0"/>
          <w:szCs w:val="21"/>
          <w:u w:val="single"/>
          <w:lang w:eastAsia="zh-CN"/>
        </w:rPr>
        <w:t>重庆绅鹏实业开发有限公司</w:t>
      </w:r>
    </w:p>
    <w:p w14:paraId="686B1A0D">
      <w:pPr>
        <w:spacing w:line="3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rPr>
        <w:t>重庆市铜梁区龙安大道科创中心</w:t>
      </w:r>
    </w:p>
    <w:p w14:paraId="7E8E1A0E">
      <w:pPr>
        <w:spacing w:line="3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lang w:val="en-US" w:eastAsia="zh-CN"/>
        </w:rPr>
        <w:t>联系人：</w:t>
      </w:r>
      <w:r>
        <w:rPr>
          <w:rFonts w:hint="eastAsia" w:ascii="宋体" w:hAnsi="宋体" w:cs="宋体"/>
          <w:color w:val="auto"/>
          <w:kern w:val="0"/>
          <w:szCs w:val="21"/>
          <w:highlight w:val="none"/>
          <w:u w:val="single"/>
          <w:lang w:val="en-US" w:eastAsia="zh-CN"/>
        </w:rPr>
        <w:t>周老师</w:t>
      </w:r>
    </w:p>
    <w:p w14:paraId="3160BD6D">
      <w:pPr>
        <w:spacing w:line="300" w:lineRule="exact"/>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联系电话：</w:t>
      </w:r>
      <w:r>
        <w:rPr>
          <w:rFonts w:hint="eastAsia" w:ascii="宋体" w:hAnsi="宋体" w:cs="宋体"/>
          <w:color w:val="auto"/>
          <w:kern w:val="0"/>
          <w:szCs w:val="21"/>
          <w:highlight w:val="none"/>
          <w:u w:val="single"/>
          <w:lang w:val="en-US" w:eastAsia="zh-CN"/>
        </w:rPr>
        <w:t>023-45685163</w:t>
      </w:r>
    </w:p>
    <w:p w14:paraId="38FA9FCE">
      <w:pPr>
        <w:tabs>
          <w:tab w:val="left" w:pos="5140"/>
          <w:tab w:val="left" w:pos="8520"/>
        </w:tabs>
        <w:autoSpaceDE w:val="0"/>
        <w:autoSpaceDN w:val="0"/>
        <w:adjustRightInd w:val="0"/>
        <w:snapToGrid w:val="0"/>
        <w:spacing w:line="420" w:lineRule="exact"/>
        <w:ind w:firstLine="420" w:firstLineChars="200"/>
        <w:jc w:val="left"/>
        <w:rPr>
          <w:rFonts w:hint="eastAsia" w:ascii="宋体" w:hAnsi="宋体" w:eastAsia="宋体"/>
          <w:snapToGrid w:val="0"/>
          <w:kern w:val="0"/>
          <w:szCs w:val="21"/>
          <w:u w:val="single"/>
          <w:lang w:eastAsia="zh-CN"/>
        </w:rPr>
      </w:pPr>
      <w:r>
        <w:rPr>
          <w:rFonts w:hint="eastAsia" w:ascii="宋体" w:hAnsi="宋体" w:eastAsia="宋体" w:cs="宋体"/>
          <w:color w:val="auto"/>
          <w:kern w:val="0"/>
          <w:szCs w:val="21"/>
          <w:highlight w:val="none"/>
          <w:lang w:val="en-US" w:eastAsia="zh-CN"/>
        </w:rPr>
        <w:t xml:space="preserve">代理机构: </w:t>
      </w:r>
      <w:r>
        <w:rPr>
          <w:rFonts w:hint="eastAsia" w:ascii="宋体" w:hAnsi="宋体" w:cs="Times New Roman"/>
          <w:snapToGrid w:val="0"/>
          <w:kern w:val="0"/>
          <w:szCs w:val="21"/>
          <w:u w:val="single"/>
          <w:lang w:eastAsia="zh-CN"/>
        </w:rPr>
        <w:t>重庆铜生科技有限公司</w:t>
      </w:r>
    </w:p>
    <w:p w14:paraId="22A26AFF">
      <w:pPr>
        <w:spacing w:line="300" w:lineRule="exact"/>
        <w:ind w:firstLine="420" w:firstLineChars="200"/>
        <w:rPr>
          <w:rFonts w:hint="eastAsia" w:ascii="宋体" w:hAnsi="宋体"/>
          <w:snapToGrid w:val="0"/>
          <w:kern w:val="0"/>
          <w:position w:val="-3"/>
          <w:szCs w:val="21"/>
          <w:u w:val="single"/>
          <w:lang w:eastAsia="zh-CN"/>
        </w:rPr>
      </w:pPr>
      <w:r>
        <w:rPr>
          <w:rFonts w:hint="eastAsia" w:ascii="宋体" w:hAnsi="宋体" w:eastAsia="宋体" w:cs="宋体"/>
          <w:color w:val="auto"/>
          <w:kern w:val="0"/>
          <w:szCs w:val="21"/>
          <w:highlight w:val="none"/>
          <w:lang w:val="en-US" w:eastAsia="zh-CN"/>
        </w:rPr>
        <w:t xml:space="preserve">地址: </w:t>
      </w:r>
      <w:r>
        <w:rPr>
          <w:rFonts w:hint="eastAsia" w:ascii="宋体" w:hAnsi="宋体" w:cs="宋体"/>
          <w:color w:val="auto"/>
          <w:kern w:val="0"/>
          <w:szCs w:val="21"/>
          <w:highlight w:val="none"/>
          <w:u w:val="single"/>
        </w:rPr>
        <w:t>重庆市铜梁区龙安大道科创中心</w:t>
      </w:r>
    </w:p>
    <w:p w14:paraId="31E1FD23">
      <w:pPr>
        <w:spacing w:line="3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联系人: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谢</w:t>
      </w:r>
      <w:r>
        <w:rPr>
          <w:rFonts w:hint="eastAsia" w:ascii="宋体" w:hAnsi="宋体" w:eastAsia="宋体" w:cs="宋体"/>
          <w:color w:val="auto"/>
          <w:kern w:val="0"/>
          <w:szCs w:val="21"/>
          <w:highlight w:val="none"/>
          <w:u w:val="single"/>
          <w:lang w:val="en-US" w:eastAsia="zh-CN"/>
        </w:rPr>
        <w:t>老师</w:t>
      </w:r>
    </w:p>
    <w:p w14:paraId="415AD8B6">
      <w:pPr>
        <w:spacing w:line="300" w:lineRule="exact"/>
        <w:ind w:firstLine="420" w:firstLineChars="200"/>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电话：</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13330348019</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p>
    <w:p w14:paraId="3C416BB0">
      <w:pPr>
        <w:spacing w:line="300" w:lineRule="exact"/>
        <w:ind w:firstLine="420" w:firstLineChars="200"/>
        <w:jc w:val="right"/>
        <w:rPr>
          <w:rFonts w:hint="eastAsia" w:ascii="宋体" w:hAnsi="宋体" w:cs="宋体"/>
          <w:color w:val="auto"/>
          <w:kern w:val="0"/>
          <w:szCs w:val="21"/>
          <w:highlight w:val="none"/>
        </w:rPr>
      </w:pPr>
    </w:p>
    <w:p w14:paraId="7CC60774">
      <w:pPr>
        <w:spacing w:line="300" w:lineRule="exact"/>
        <w:ind w:firstLine="420" w:firstLineChars="200"/>
        <w:jc w:val="right"/>
        <w:rPr>
          <w:rFonts w:hint="eastAsia" w:ascii="宋体" w:hAnsi="宋体" w:cs="宋体"/>
          <w:color w:val="auto"/>
          <w:kern w:val="0"/>
          <w:szCs w:val="21"/>
          <w:highlight w:val="none"/>
        </w:rPr>
      </w:pPr>
    </w:p>
    <w:p w14:paraId="1764ABCD">
      <w:pPr>
        <w:spacing w:line="300" w:lineRule="exact"/>
        <w:ind w:firstLine="420" w:firstLineChars="200"/>
        <w:jc w:val="right"/>
        <w:rPr>
          <w:rFonts w:hint="eastAsia" w:ascii="宋体" w:hAnsi="宋体" w:cs="宋体"/>
          <w:color w:val="auto"/>
          <w:kern w:val="0"/>
          <w:szCs w:val="21"/>
          <w:highlight w:val="none"/>
        </w:rPr>
      </w:pPr>
    </w:p>
    <w:p w14:paraId="2E1B5333">
      <w:pPr>
        <w:spacing w:line="300" w:lineRule="exact"/>
        <w:ind w:firstLine="420" w:firstLineChars="200"/>
        <w:jc w:val="right"/>
        <w:rPr>
          <w:rFonts w:hint="eastAsia" w:ascii="宋体" w:hAnsi="宋体" w:cs="宋体"/>
          <w:color w:val="auto"/>
          <w:kern w:val="0"/>
          <w:szCs w:val="21"/>
          <w:highlight w:val="none"/>
        </w:rPr>
      </w:pPr>
    </w:p>
    <w:p w14:paraId="2CF6241E">
      <w:pPr>
        <w:spacing w:line="300" w:lineRule="exact"/>
        <w:ind w:firstLine="420" w:firstLineChars="200"/>
        <w:jc w:val="right"/>
        <w:rPr>
          <w:rFonts w:hint="eastAsia" w:ascii="宋体" w:hAnsi="宋体" w:cs="宋体"/>
          <w:color w:val="auto"/>
          <w:kern w:val="0"/>
          <w:szCs w:val="21"/>
          <w:highlight w:val="none"/>
        </w:rPr>
      </w:pPr>
    </w:p>
    <w:p w14:paraId="03D7E060">
      <w:pPr>
        <w:spacing w:line="300" w:lineRule="exact"/>
        <w:ind w:firstLine="420" w:firstLineChars="200"/>
        <w:jc w:val="right"/>
        <w:rPr>
          <w:rFonts w:hint="eastAsia" w:ascii="宋体" w:hAnsi="宋体" w:cs="宋体"/>
          <w:color w:val="auto"/>
          <w:kern w:val="0"/>
          <w:szCs w:val="21"/>
          <w:highlight w:val="none"/>
        </w:rPr>
      </w:pPr>
    </w:p>
    <w:p w14:paraId="0206AEBD">
      <w:pPr>
        <w:spacing w:line="300" w:lineRule="exact"/>
        <w:ind w:firstLine="420" w:firstLineChars="200"/>
        <w:jc w:val="right"/>
        <w:rPr>
          <w:rFonts w:hint="eastAsia" w:ascii="宋体" w:hAnsi="宋体" w:cs="宋体"/>
          <w:color w:val="auto"/>
          <w:kern w:val="0"/>
          <w:szCs w:val="21"/>
          <w:highlight w:val="none"/>
        </w:rPr>
      </w:pPr>
    </w:p>
    <w:p w14:paraId="0198A7BD">
      <w:pPr>
        <w:spacing w:line="300" w:lineRule="exact"/>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MingLiU"/>
          <w:color w:val="auto"/>
          <w:kern w:val="0"/>
          <w:szCs w:val="22"/>
          <w:highlight w:val="none"/>
          <w:lang w:val="en-US" w:eastAsia="zh-CN"/>
        </w:rPr>
        <w:t>2025年8月13 日</w:t>
      </w:r>
    </w:p>
    <w:p w14:paraId="0A2BF8F8">
      <w:pPr>
        <w:pStyle w:val="4"/>
        <w:spacing w:line="360" w:lineRule="exact"/>
        <w:jc w:val="center"/>
        <w:rPr>
          <w:rFonts w:hint="eastAsia" w:ascii="黑体" w:hAnsi="宋体" w:eastAsia="黑体"/>
          <w:color w:val="auto"/>
          <w:kern w:val="0"/>
          <w:sz w:val="28"/>
          <w:szCs w:val="28"/>
          <w:highlight w:val="none"/>
        </w:rPr>
      </w:pPr>
      <w:r>
        <w:rPr>
          <w:rFonts w:hint="eastAsia" w:ascii="宋体" w:hAnsi="宋体" w:cs="宋体"/>
          <w:b/>
          <w:color w:val="auto"/>
          <w:kern w:val="0"/>
          <w:szCs w:val="21"/>
          <w:highlight w:val="none"/>
        </w:rPr>
        <w:br w:type="page"/>
      </w:r>
      <w:bookmarkStart w:id="25" w:name="_Toc513492488"/>
      <w:bookmarkStart w:id="26" w:name="_Toc20205"/>
      <w:bookmarkStart w:id="27" w:name="_Toc452058680"/>
      <w:r>
        <w:rPr>
          <w:rFonts w:hint="eastAsia" w:ascii="黑体" w:hAnsi="宋体" w:eastAsia="黑体"/>
          <w:color w:val="auto"/>
          <w:kern w:val="0"/>
          <w:sz w:val="28"/>
          <w:szCs w:val="28"/>
          <w:highlight w:val="none"/>
        </w:rPr>
        <w:t>第二章  投标人须知</w:t>
      </w:r>
      <w:bookmarkEnd w:id="20"/>
      <w:bookmarkEnd w:id="21"/>
      <w:bookmarkEnd w:id="22"/>
      <w:bookmarkEnd w:id="23"/>
      <w:bookmarkEnd w:id="24"/>
      <w:bookmarkEnd w:id="25"/>
      <w:bookmarkEnd w:id="26"/>
      <w:bookmarkEnd w:id="27"/>
    </w:p>
    <w:p w14:paraId="4510E92F">
      <w:pPr>
        <w:pStyle w:val="5"/>
        <w:spacing w:line="400" w:lineRule="exact"/>
        <w:rPr>
          <w:rFonts w:ascii="宋体" w:hAnsi="宋体"/>
          <w:color w:val="auto"/>
          <w:sz w:val="21"/>
          <w:szCs w:val="21"/>
          <w:highlight w:val="none"/>
        </w:rPr>
      </w:pPr>
      <w:bookmarkStart w:id="28" w:name="_Toc18480"/>
      <w:bookmarkStart w:id="29" w:name="_Toc386029645"/>
      <w:bookmarkStart w:id="30" w:name="_Toc224103316"/>
      <w:bookmarkStart w:id="31" w:name="_Toc5936"/>
      <w:bookmarkStart w:id="32" w:name="_Toc277082551"/>
      <w:bookmarkStart w:id="33" w:name="_Toc452058681"/>
      <w:bookmarkStart w:id="34" w:name="_Toc287607745"/>
      <w:bookmarkStart w:id="35" w:name="_Toc658"/>
      <w:r>
        <w:rPr>
          <w:rFonts w:hint="eastAsia" w:ascii="宋体" w:hAnsi="宋体"/>
          <w:color w:val="auto"/>
          <w:sz w:val="21"/>
          <w:szCs w:val="21"/>
          <w:highlight w:val="none"/>
        </w:rPr>
        <w:t>投标人须知前附表</w:t>
      </w:r>
      <w:bookmarkEnd w:id="28"/>
      <w:bookmarkEnd w:id="29"/>
      <w:bookmarkEnd w:id="30"/>
      <w:bookmarkEnd w:id="31"/>
      <w:bookmarkEnd w:id="32"/>
      <w:bookmarkEnd w:id="33"/>
      <w:bookmarkEnd w:id="34"/>
      <w:bookmarkEnd w:id="35"/>
    </w:p>
    <w:tbl>
      <w:tblPr>
        <w:tblStyle w:val="5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00"/>
        <w:gridCol w:w="7189"/>
      </w:tblGrid>
      <w:tr w14:paraId="7695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135" w:type="dxa"/>
            <w:vAlign w:val="center"/>
          </w:tcPr>
          <w:p w14:paraId="7D1AD9F8">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500" w:type="dxa"/>
            <w:vAlign w:val="center"/>
          </w:tcPr>
          <w:p w14:paraId="6C04D830">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89" w:type="dxa"/>
            <w:vAlign w:val="center"/>
          </w:tcPr>
          <w:p w14:paraId="3F89C336">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C44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5" w:type="dxa"/>
            <w:vAlign w:val="center"/>
          </w:tcPr>
          <w:p w14:paraId="3413357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500" w:type="dxa"/>
            <w:vAlign w:val="center"/>
          </w:tcPr>
          <w:p w14:paraId="6FD81AB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7189" w:type="dxa"/>
            <w:vAlign w:val="center"/>
          </w:tcPr>
          <w:p w14:paraId="650505D6">
            <w:pPr>
              <w:spacing w:line="300" w:lineRule="exact"/>
              <w:rPr>
                <w:rFonts w:hint="eastAsia" w:ascii="宋体" w:hAnsi="宋体"/>
                <w:kern w:val="0"/>
                <w:szCs w:val="21"/>
              </w:rPr>
            </w:pPr>
            <w:r>
              <w:rPr>
                <w:rFonts w:hint="eastAsia" w:ascii="宋体" w:hAnsi="宋体" w:cs="宋体"/>
                <w:color w:val="auto"/>
                <w:kern w:val="0"/>
                <w:szCs w:val="21"/>
                <w:highlight w:val="none"/>
              </w:rPr>
              <w:t>比选人：</w:t>
            </w:r>
            <w:r>
              <w:rPr>
                <w:rFonts w:hint="eastAsia" w:ascii="宋体" w:hAnsi="宋体"/>
                <w:kern w:val="0"/>
                <w:szCs w:val="21"/>
                <w:lang w:eastAsia="zh-CN"/>
              </w:rPr>
              <w:t>重庆绅鹏实业开发有限公司</w:t>
            </w:r>
          </w:p>
          <w:p w14:paraId="13355F7C">
            <w:pPr>
              <w:snapToGrid w:val="0"/>
              <w:spacing w:line="40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  址：</w:t>
            </w:r>
            <w:r>
              <w:rPr>
                <w:rFonts w:hint="eastAsia" w:ascii="宋体" w:hAnsi="宋体"/>
                <w:kern w:val="0"/>
                <w:szCs w:val="21"/>
              </w:rPr>
              <w:t>重庆市铜梁区龙安大道科创中心</w:t>
            </w:r>
          </w:p>
          <w:p w14:paraId="06E4B0F1">
            <w:pPr>
              <w:spacing w:line="30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联系人：周老师</w:t>
            </w:r>
          </w:p>
          <w:p w14:paraId="6DFC398C">
            <w:pPr>
              <w:spacing w:line="300" w:lineRule="exact"/>
              <w:rPr>
                <w:rFonts w:hint="default" w:ascii="宋体" w:hAnsi="宋体"/>
                <w:snapToGrid w:val="0"/>
                <w:color w:val="auto"/>
                <w:kern w:val="0"/>
                <w:highlight w:val="none"/>
                <w:lang w:val="en-US"/>
              </w:rPr>
            </w:pPr>
            <w:r>
              <w:rPr>
                <w:rFonts w:hint="eastAsia" w:ascii="宋体" w:hAnsi="宋体" w:cs="宋体"/>
                <w:color w:val="auto"/>
                <w:kern w:val="0"/>
                <w:szCs w:val="21"/>
                <w:highlight w:val="none"/>
                <w:lang w:val="en-US" w:eastAsia="zh-CN"/>
              </w:rPr>
              <w:t>联系电话：</w:t>
            </w:r>
            <w:r>
              <w:rPr>
                <w:rFonts w:hint="eastAsia" w:ascii="宋体" w:hAnsi="宋体" w:cs="宋体"/>
                <w:color w:val="auto"/>
                <w:kern w:val="0"/>
                <w:szCs w:val="21"/>
                <w:highlight w:val="none"/>
                <w:u w:val="none"/>
                <w:lang w:val="en-US" w:eastAsia="zh-CN"/>
              </w:rPr>
              <w:t>023-45685163</w:t>
            </w:r>
          </w:p>
        </w:tc>
      </w:tr>
      <w:tr w14:paraId="668B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35" w:type="dxa"/>
            <w:vAlign w:val="center"/>
          </w:tcPr>
          <w:p w14:paraId="7571275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500" w:type="dxa"/>
            <w:vAlign w:val="center"/>
          </w:tcPr>
          <w:p w14:paraId="37CC3B6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7189" w:type="dxa"/>
            <w:vAlign w:val="center"/>
          </w:tcPr>
          <w:p w14:paraId="7E6536C3">
            <w:pPr>
              <w:snapToGrid w:val="0"/>
              <w:spacing w:line="400" w:lineRule="exact"/>
              <w:rPr>
                <w:rFonts w:hint="eastAsia" w:ascii="宋体" w:hAnsi="宋体" w:eastAsia="宋体"/>
                <w:kern w:val="0"/>
                <w:szCs w:val="21"/>
                <w:lang w:eastAsia="zh-CN"/>
              </w:rPr>
            </w:pPr>
            <w:r>
              <w:rPr>
                <w:rFonts w:hint="eastAsia" w:ascii="宋体" w:hAnsi="宋体" w:eastAsia="宋体" w:cs="宋体"/>
                <w:color w:val="auto"/>
                <w:kern w:val="0"/>
                <w:szCs w:val="21"/>
                <w:highlight w:val="none"/>
                <w:lang w:val="en-US" w:eastAsia="zh-CN"/>
              </w:rPr>
              <w:t xml:space="preserve">代理机构: </w:t>
            </w:r>
            <w:r>
              <w:rPr>
                <w:rFonts w:hint="eastAsia" w:ascii="宋体" w:hAnsi="宋体"/>
                <w:kern w:val="0"/>
                <w:szCs w:val="21"/>
                <w:lang w:eastAsia="zh-CN"/>
              </w:rPr>
              <w:t>重庆铜生科技有限公司</w:t>
            </w:r>
          </w:p>
          <w:p w14:paraId="5B08314D">
            <w:pPr>
              <w:spacing w:line="300" w:lineRule="exact"/>
              <w:rPr>
                <w:rFonts w:hint="eastAsia" w:ascii="宋体" w:hAnsi="宋体"/>
                <w:kern w:val="0"/>
                <w:szCs w:val="21"/>
                <w:lang w:eastAsia="zh-CN"/>
              </w:rPr>
            </w:pPr>
            <w:r>
              <w:rPr>
                <w:rFonts w:hint="eastAsia" w:ascii="宋体" w:hAnsi="宋体" w:eastAsia="宋体" w:cs="宋体"/>
                <w:color w:val="auto"/>
                <w:kern w:val="0"/>
                <w:szCs w:val="21"/>
                <w:highlight w:val="none"/>
                <w:lang w:val="en-US" w:eastAsia="zh-CN"/>
              </w:rPr>
              <w:t>地址: 重庆市铜梁区龙安大道科创中心</w:t>
            </w:r>
          </w:p>
          <w:p w14:paraId="707DB9F7">
            <w:pPr>
              <w:spacing w:line="3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联系人: </w:t>
            </w:r>
            <w:r>
              <w:rPr>
                <w:rFonts w:hint="eastAsia" w:ascii="宋体" w:hAnsi="宋体" w:cs="宋体"/>
                <w:color w:val="auto"/>
                <w:kern w:val="0"/>
                <w:szCs w:val="21"/>
                <w:highlight w:val="none"/>
                <w:lang w:val="en-US" w:eastAsia="zh-CN"/>
              </w:rPr>
              <w:t>谢</w:t>
            </w:r>
            <w:r>
              <w:rPr>
                <w:rFonts w:hint="eastAsia" w:ascii="宋体" w:hAnsi="宋体" w:eastAsia="宋体" w:cs="宋体"/>
                <w:color w:val="auto"/>
                <w:kern w:val="0"/>
                <w:szCs w:val="21"/>
                <w:highlight w:val="none"/>
                <w:lang w:val="en-US" w:eastAsia="zh-CN"/>
              </w:rPr>
              <w:t>老师</w:t>
            </w:r>
          </w:p>
          <w:p w14:paraId="26EA4A23">
            <w:pPr>
              <w:spacing w:line="360" w:lineRule="auto"/>
              <w:ind w:right="67" w:rightChars="32"/>
              <w:rPr>
                <w:rFonts w:hint="default" w:ascii="宋体"/>
                <w:color w:val="auto"/>
                <w:kern w:val="0"/>
                <w:highlight w:val="none"/>
                <w:lang w:val="en-US"/>
              </w:rPr>
            </w:pPr>
            <w:r>
              <w:rPr>
                <w:rFonts w:hint="eastAsia" w:ascii="宋体" w:hAnsi="宋体" w:eastAsia="宋体" w:cs="宋体"/>
                <w:color w:val="auto"/>
                <w:kern w:val="0"/>
                <w:szCs w:val="21"/>
                <w:highlight w:val="none"/>
                <w:lang w:val="en-US" w:eastAsia="zh-CN"/>
              </w:rPr>
              <w:t xml:space="preserve">电话：13330348019 </w:t>
            </w:r>
          </w:p>
        </w:tc>
      </w:tr>
      <w:tr w14:paraId="5D13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35" w:type="dxa"/>
            <w:vAlign w:val="center"/>
          </w:tcPr>
          <w:p w14:paraId="03A1A75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500" w:type="dxa"/>
            <w:vAlign w:val="center"/>
          </w:tcPr>
          <w:p w14:paraId="485B918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89" w:type="dxa"/>
            <w:vAlign w:val="center"/>
          </w:tcPr>
          <w:p w14:paraId="095298A1">
            <w:pPr>
              <w:snapToGrid w:val="0"/>
              <w:spacing w:line="320" w:lineRule="exact"/>
              <w:rPr>
                <w:rFonts w:hint="eastAsia" w:ascii="宋体" w:hAnsi="宋体" w:eastAsia="宋体" w:cs="宋体"/>
                <w:color w:val="auto"/>
                <w:kern w:val="0"/>
                <w:szCs w:val="21"/>
                <w:highlight w:val="none"/>
                <w:lang w:eastAsia="zh-CN"/>
              </w:rPr>
            </w:pPr>
            <w:r>
              <w:rPr>
                <w:rFonts w:hint="eastAsia" w:ascii="宋体" w:hAnsi="宋体" w:cs="MingLiU"/>
                <w:snapToGrid w:val="0"/>
                <w:kern w:val="0"/>
                <w:szCs w:val="21"/>
                <w:lang w:eastAsia="zh-CN"/>
              </w:rPr>
              <w:t>蒲吕滨江新城商品房外墙脱落排危整治项目（第二次）</w:t>
            </w:r>
          </w:p>
        </w:tc>
      </w:tr>
      <w:tr w14:paraId="7DFA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5" w:type="dxa"/>
            <w:vAlign w:val="center"/>
          </w:tcPr>
          <w:p w14:paraId="18E8A3F4">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500" w:type="dxa"/>
            <w:vAlign w:val="center"/>
          </w:tcPr>
          <w:p w14:paraId="04AC3EB3">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7189" w:type="dxa"/>
            <w:vAlign w:val="center"/>
          </w:tcPr>
          <w:p w14:paraId="7CC83A97">
            <w:pPr>
              <w:spacing w:line="400" w:lineRule="exact"/>
              <w:rPr>
                <w:rFonts w:hint="default" w:ascii="宋体" w:hAnsi="宋体" w:cs="宋体"/>
                <w:color w:val="auto"/>
                <w:kern w:val="0"/>
                <w:szCs w:val="21"/>
                <w:highlight w:val="none"/>
                <w:lang w:val="en-US"/>
              </w:rPr>
            </w:pPr>
            <w:r>
              <w:rPr>
                <w:rFonts w:hint="default" w:ascii="宋体" w:hAnsi="宋体" w:cs="宋体"/>
                <w:color w:val="auto"/>
                <w:kern w:val="0"/>
                <w:szCs w:val="21"/>
                <w:highlight w:val="none"/>
                <w:lang w:val="en-US" w:eastAsia="zh-CN"/>
              </w:rPr>
              <w:t>重庆市铜梁高新区</w:t>
            </w:r>
          </w:p>
        </w:tc>
      </w:tr>
      <w:tr w14:paraId="17DE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5" w:type="dxa"/>
            <w:vAlign w:val="center"/>
          </w:tcPr>
          <w:p w14:paraId="0A8C950D">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500" w:type="dxa"/>
            <w:vAlign w:val="center"/>
          </w:tcPr>
          <w:p w14:paraId="3C93F47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7189" w:type="dxa"/>
            <w:vAlign w:val="center"/>
          </w:tcPr>
          <w:p w14:paraId="4DCD4D1A">
            <w:pPr>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业主自筹</w:t>
            </w:r>
            <w:r>
              <w:rPr>
                <w:rFonts w:hint="eastAsia" w:ascii="宋体" w:hAnsi="宋体" w:cs="宋体"/>
                <w:color w:val="auto"/>
                <w:kern w:val="0"/>
                <w:szCs w:val="21"/>
                <w:highlight w:val="none"/>
              </w:rPr>
              <w:t>。</w:t>
            </w:r>
          </w:p>
        </w:tc>
      </w:tr>
      <w:tr w14:paraId="2995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35" w:type="dxa"/>
            <w:vAlign w:val="center"/>
          </w:tcPr>
          <w:p w14:paraId="34836820">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500" w:type="dxa"/>
            <w:vAlign w:val="center"/>
          </w:tcPr>
          <w:p w14:paraId="2A4D7006">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出资比例</w:t>
            </w:r>
          </w:p>
        </w:tc>
        <w:tc>
          <w:tcPr>
            <w:tcW w:w="7189" w:type="dxa"/>
            <w:vAlign w:val="center"/>
          </w:tcPr>
          <w:p w14:paraId="7742E155">
            <w:pPr>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1A67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vAlign w:val="center"/>
          </w:tcPr>
          <w:p w14:paraId="586171E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500" w:type="dxa"/>
            <w:vAlign w:val="center"/>
          </w:tcPr>
          <w:p w14:paraId="79B44957">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资金落</w:t>
            </w:r>
          </w:p>
          <w:p w14:paraId="2B606EE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实情况</w:t>
            </w:r>
          </w:p>
        </w:tc>
        <w:tc>
          <w:tcPr>
            <w:tcW w:w="7189" w:type="dxa"/>
            <w:vAlign w:val="center"/>
          </w:tcPr>
          <w:p w14:paraId="71C2E18B">
            <w:pPr>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0B60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35" w:type="dxa"/>
            <w:vAlign w:val="center"/>
          </w:tcPr>
          <w:p w14:paraId="02D719A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500" w:type="dxa"/>
            <w:vAlign w:val="center"/>
          </w:tcPr>
          <w:p w14:paraId="0302B075">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7189" w:type="dxa"/>
            <w:vAlign w:val="center"/>
          </w:tcPr>
          <w:p w14:paraId="47267B6E">
            <w:pPr>
              <w:spacing w:line="400" w:lineRule="exact"/>
              <w:ind w:right="-416" w:rightChars="-198"/>
              <w:rPr>
                <w:rFonts w:ascii="宋体" w:hAnsi="宋体" w:cs="宋体"/>
                <w:color w:val="auto"/>
                <w:kern w:val="0"/>
                <w:szCs w:val="21"/>
                <w:highlight w:val="none"/>
              </w:rPr>
            </w:pPr>
            <w:r>
              <w:rPr>
                <w:rFonts w:hint="eastAsia" w:ascii="宋体" w:hAnsi="宋体" w:cs="宋体"/>
                <w:color w:val="auto"/>
                <w:kern w:val="0"/>
                <w:szCs w:val="21"/>
                <w:highlight w:val="none"/>
              </w:rPr>
              <w:t>施工图所示工作内容，具体以比选人发布的工程量清单为准。</w:t>
            </w:r>
          </w:p>
        </w:tc>
      </w:tr>
      <w:tr w14:paraId="12AC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5" w:type="dxa"/>
            <w:vAlign w:val="center"/>
          </w:tcPr>
          <w:p w14:paraId="69E41ECA">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500" w:type="dxa"/>
            <w:vAlign w:val="center"/>
          </w:tcPr>
          <w:p w14:paraId="2ED32558">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计划工期</w:t>
            </w:r>
          </w:p>
        </w:tc>
        <w:tc>
          <w:tcPr>
            <w:tcW w:w="7189" w:type="dxa"/>
            <w:vAlign w:val="center"/>
          </w:tcPr>
          <w:p w14:paraId="3A4F49CF">
            <w:pPr>
              <w:spacing w:line="400" w:lineRule="exact"/>
              <w:ind w:right="-416" w:rightChars="-198"/>
              <w:rPr>
                <w:rFonts w:ascii="宋体" w:hAnsi="宋体" w:cs="宋体"/>
                <w:color w:val="auto"/>
                <w:kern w:val="0"/>
                <w:szCs w:val="21"/>
                <w:highlight w:val="none"/>
              </w:rPr>
            </w:pPr>
            <w:r>
              <w:rPr>
                <w:rFonts w:hint="eastAsia" w:ascii="宋体" w:hAnsi="宋体" w:cs="宋体"/>
                <w:color w:val="auto"/>
                <w:kern w:val="0"/>
                <w:szCs w:val="21"/>
                <w:highlight w:val="none"/>
              </w:rPr>
              <w:t>计划工期：</w:t>
            </w:r>
            <w:r>
              <w:rPr>
                <w:rFonts w:hint="eastAsia" w:ascii="宋体" w:hAnsi="宋体" w:cs="宋体"/>
                <w:color w:val="auto"/>
                <w:kern w:val="0"/>
                <w:szCs w:val="21"/>
                <w:highlight w:val="none"/>
                <w:lang w:val="en-US" w:eastAsia="zh-CN"/>
              </w:rPr>
              <w:t>120</w:t>
            </w:r>
            <w:r>
              <w:rPr>
                <w:rFonts w:hint="eastAsia" w:ascii="宋体" w:hAnsi="宋体" w:cs="宋体"/>
                <w:color w:val="auto"/>
                <w:kern w:val="0"/>
                <w:szCs w:val="21"/>
                <w:highlight w:val="none"/>
              </w:rPr>
              <w:t>日历天</w:t>
            </w:r>
          </w:p>
        </w:tc>
      </w:tr>
      <w:tr w14:paraId="4588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6F3FA257">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1500" w:type="dxa"/>
            <w:vAlign w:val="center"/>
          </w:tcPr>
          <w:p w14:paraId="706D849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189" w:type="dxa"/>
            <w:vAlign w:val="center"/>
          </w:tcPr>
          <w:p w14:paraId="5F1B8404">
            <w:pPr>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达到国家现行有关施工质量验收规范要求，并达到合格标准。</w:t>
            </w:r>
          </w:p>
        </w:tc>
      </w:tr>
      <w:tr w14:paraId="7376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3114666">
            <w:pPr>
              <w:snapToGrid w:val="0"/>
              <w:spacing w:line="300" w:lineRule="auto"/>
              <w:jc w:val="center"/>
              <w:rPr>
                <w:rFonts w:ascii="宋体" w:hAnsi="宋体" w:cs="宋体"/>
                <w:color w:val="auto"/>
                <w:kern w:val="0"/>
                <w:szCs w:val="21"/>
                <w:highlight w:val="none"/>
              </w:rPr>
            </w:pPr>
          </w:p>
          <w:p w14:paraId="3B57737F">
            <w:pPr>
              <w:snapToGrid w:val="0"/>
              <w:spacing w:line="300" w:lineRule="auto"/>
              <w:jc w:val="center"/>
              <w:rPr>
                <w:rFonts w:ascii="宋体" w:hAnsi="宋体" w:cs="宋体"/>
                <w:color w:val="auto"/>
                <w:kern w:val="0"/>
                <w:szCs w:val="21"/>
                <w:highlight w:val="none"/>
              </w:rPr>
            </w:pPr>
          </w:p>
          <w:p w14:paraId="3DDB8A59">
            <w:pPr>
              <w:snapToGrid w:val="0"/>
              <w:spacing w:line="300" w:lineRule="auto"/>
              <w:jc w:val="center"/>
              <w:rPr>
                <w:rFonts w:ascii="宋体" w:hAnsi="宋体" w:cs="宋体"/>
                <w:color w:val="auto"/>
                <w:kern w:val="0"/>
                <w:szCs w:val="21"/>
                <w:highlight w:val="none"/>
              </w:rPr>
            </w:pPr>
          </w:p>
          <w:p w14:paraId="4B6E367E">
            <w:pPr>
              <w:snapToGrid w:val="0"/>
              <w:spacing w:line="300" w:lineRule="auto"/>
              <w:jc w:val="center"/>
              <w:rPr>
                <w:rFonts w:ascii="宋体" w:hAnsi="宋体" w:cs="宋体"/>
                <w:color w:val="auto"/>
                <w:kern w:val="0"/>
                <w:szCs w:val="21"/>
                <w:highlight w:val="none"/>
              </w:rPr>
            </w:pPr>
          </w:p>
          <w:p w14:paraId="0B641AFC">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14:paraId="3FEC53AC">
            <w:pPr>
              <w:snapToGrid w:val="0"/>
              <w:spacing w:line="300" w:lineRule="auto"/>
              <w:jc w:val="center"/>
              <w:rPr>
                <w:rFonts w:ascii="宋体" w:hAnsi="宋体" w:cs="宋体"/>
                <w:color w:val="auto"/>
                <w:kern w:val="0"/>
                <w:szCs w:val="21"/>
                <w:highlight w:val="none"/>
              </w:rPr>
            </w:pPr>
          </w:p>
          <w:p w14:paraId="3E1BF78D">
            <w:pPr>
              <w:snapToGrid w:val="0"/>
              <w:spacing w:line="300" w:lineRule="auto"/>
              <w:jc w:val="center"/>
              <w:rPr>
                <w:rFonts w:ascii="宋体" w:hAnsi="宋体" w:cs="宋体"/>
                <w:color w:val="auto"/>
                <w:kern w:val="0"/>
                <w:szCs w:val="21"/>
                <w:highlight w:val="none"/>
              </w:rPr>
            </w:pPr>
          </w:p>
          <w:p w14:paraId="2C93DEDC">
            <w:pPr>
              <w:snapToGrid w:val="0"/>
              <w:spacing w:line="300" w:lineRule="auto"/>
              <w:jc w:val="center"/>
              <w:rPr>
                <w:rFonts w:ascii="宋体" w:hAnsi="宋体" w:cs="宋体"/>
                <w:color w:val="auto"/>
                <w:kern w:val="0"/>
                <w:szCs w:val="21"/>
                <w:highlight w:val="none"/>
              </w:rPr>
            </w:pPr>
          </w:p>
          <w:p w14:paraId="382F3F47">
            <w:pPr>
              <w:snapToGrid w:val="0"/>
              <w:spacing w:line="300" w:lineRule="auto"/>
              <w:jc w:val="center"/>
              <w:rPr>
                <w:rFonts w:ascii="宋体" w:hAnsi="宋体" w:cs="宋体"/>
                <w:color w:val="auto"/>
                <w:kern w:val="0"/>
                <w:szCs w:val="21"/>
                <w:highlight w:val="none"/>
              </w:rPr>
            </w:pPr>
          </w:p>
          <w:p w14:paraId="1BC6B980">
            <w:pPr>
              <w:snapToGrid w:val="0"/>
              <w:spacing w:line="300" w:lineRule="auto"/>
              <w:jc w:val="center"/>
              <w:rPr>
                <w:rFonts w:ascii="宋体" w:hAnsi="宋体" w:cs="宋体"/>
                <w:color w:val="auto"/>
                <w:kern w:val="0"/>
                <w:szCs w:val="21"/>
                <w:highlight w:val="none"/>
              </w:rPr>
            </w:pPr>
          </w:p>
          <w:p w14:paraId="55C9B16C">
            <w:pPr>
              <w:snapToGrid w:val="0"/>
              <w:spacing w:line="300" w:lineRule="auto"/>
              <w:jc w:val="center"/>
              <w:rPr>
                <w:rFonts w:ascii="宋体" w:hAnsi="宋体" w:cs="宋体"/>
                <w:color w:val="auto"/>
                <w:kern w:val="0"/>
                <w:szCs w:val="21"/>
                <w:highlight w:val="none"/>
              </w:rPr>
            </w:pPr>
          </w:p>
          <w:p w14:paraId="13A9FBB4">
            <w:pPr>
              <w:snapToGrid w:val="0"/>
              <w:spacing w:line="300" w:lineRule="auto"/>
              <w:jc w:val="center"/>
              <w:rPr>
                <w:rFonts w:ascii="宋体" w:hAnsi="宋体" w:cs="宋体"/>
                <w:color w:val="auto"/>
                <w:kern w:val="0"/>
                <w:szCs w:val="21"/>
                <w:highlight w:val="none"/>
              </w:rPr>
            </w:pPr>
          </w:p>
          <w:p w14:paraId="13AD55CB">
            <w:pPr>
              <w:snapToGrid w:val="0"/>
              <w:spacing w:line="300" w:lineRule="auto"/>
              <w:jc w:val="center"/>
              <w:rPr>
                <w:rFonts w:ascii="宋体" w:hAnsi="宋体" w:cs="宋体"/>
                <w:color w:val="auto"/>
                <w:kern w:val="0"/>
                <w:szCs w:val="21"/>
                <w:highlight w:val="none"/>
              </w:rPr>
            </w:pPr>
          </w:p>
          <w:p w14:paraId="2ADDBE51">
            <w:pPr>
              <w:snapToGrid w:val="0"/>
              <w:spacing w:line="300" w:lineRule="auto"/>
              <w:jc w:val="center"/>
              <w:rPr>
                <w:rFonts w:ascii="宋体" w:hAnsi="宋体" w:cs="宋体"/>
                <w:color w:val="auto"/>
                <w:kern w:val="0"/>
                <w:szCs w:val="21"/>
                <w:highlight w:val="none"/>
              </w:rPr>
            </w:pPr>
          </w:p>
          <w:p w14:paraId="1DD46366">
            <w:pPr>
              <w:snapToGrid w:val="0"/>
              <w:spacing w:line="300" w:lineRule="auto"/>
              <w:jc w:val="center"/>
              <w:rPr>
                <w:rFonts w:ascii="宋体" w:hAnsi="宋体" w:cs="宋体"/>
                <w:color w:val="auto"/>
                <w:kern w:val="0"/>
                <w:szCs w:val="21"/>
                <w:highlight w:val="none"/>
              </w:rPr>
            </w:pPr>
          </w:p>
          <w:p w14:paraId="3330E53E">
            <w:pPr>
              <w:snapToGrid w:val="0"/>
              <w:spacing w:line="300" w:lineRule="auto"/>
              <w:jc w:val="center"/>
              <w:rPr>
                <w:rFonts w:ascii="宋体" w:hAnsi="宋体" w:cs="宋体"/>
                <w:color w:val="auto"/>
                <w:kern w:val="0"/>
                <w:szCs w:val="21"/>
                <w:highlight w:val="none"/>
              </w:rPr>
            </w:pPr>
          </w:p>
          <w:p w14:paraId="1C1048EE">
            <w:pPr>
              <w:snapToGrid w:val="0"/>
              <w:spacing w:line="300" w:lineRule="auto"/>
              <w:jc w:val="center"/>
              <w:rPr>
                <w:rFonts w:ascii="宋体" w:hAnsi="宋体" w:cs="宋体"/>
                <w:color w:val="auto"/>
                <w:kern w:val="0"/>
                <w:szCs w:val="21"/>
                <w:highlight w:val="none"/>
              </w:rPr>
            </w:pPr>
          </w:p>
          <w:p w14:paraId="3541E297">
            <w:pPr>
              <w:snapToGrid w:val="0"/>
              <w:spacing w:line="300" w:lineRule="auto"/>
              <w:jc w:val="center"/>
              <w:rPr>
                <w:rFonts w:ascii="宋体" w:hAnsi="宋体" w:cs="宋体"/>
                <w:color w:val="auto"/>
                <w:kern w:val="0"/>
                <w:szCs w:val="21"/>
                <w:highlight w:val="none"/>
              </w:rPr>
            </w:pPr>
          </w:p>
          <w:p w14:paraId="4702CC7F">
            <w:pPr>
              <w:snapToGrid w:val="0"/>
              <w:spacing w:line="300" w:lineRule="auto"/>
              <w:jc w:val="center"/>
              <w:rPr>
                <w:rFonts w:ascii="宋体" w:hAnsi="宋体" w:cs="宋体"/>
                <w:color w:val="auto"/>
                <w:kern w:val="0"/>
                <w:szCs w:val="21"/>
                <w:highlight w:val="none"/>
              </w:rPr>
            </w:pPr>
          </w:p>
          <w:p w14:paraId="59D367B4">
            <w:pPr>
              <w:snapToGrid w:val="0"/>
              <w:spacing w:line="300" w:lineRule="auto"/>
              <w:jc w:val="center"/>
              <w:rPr>
                <w:rFonts w:ascii="宋体" w:hAnsi="宋体" w:cs="宋体"/>
                <w:color w:val="auto"/>
                <w:kern w:val="0"/>
                <w:szCs w:val="21"/>
                <w:highlight w:val="none"/>
              </w:rPr>
            </w:pPr>
          </w:p>
          <w:p w14:paraId="0F26945E">
            <w:pPr>
              <w:snapToGrid w:val="0"/>
              <w:spacing w:line="300" w:lineRule="auto"/>
              <w:jc w:val="center"/>
              <w:rPr>
                <w:rFonts w:ascii="宋体" w:hAnsi="宋体" w:cs="宋体"/>
                <w:color w:val="auto"/>
                <w:kern w:val="0"/>
                <w:szCs w:val="21"/>
                <w:highlight w:val="none"/>
              </w:rPr>
            </w:pPr>
          </w:p>
          <w:p w14:paraId="08CB1FCC">
            <w:pPr>
              <w:snapToGrid w:val="0"/>
              <w:spacing w:line="300" w:lineRule="auto"/>
              <w:jc w:val="center"/>
              <w:rPr>
                <w:rFonts w:ascii="宋体" w:hAnsi="宋体" w:cs="宋体"/>
                <w:color w:val="auto"/>
                <w:kern w:val="0"/>
                <w:szCs w:val="21"/>
                <w:highlight w:val="none"/>
              </w:rPr>
            </w:pPr>
          </w:p>
          <w:p w14:paraId="31B567A7">
            <w:pPr>
              <w:snapToGrid w:val="0"/>
              <w:spacing w:line="300" w:lineRule="auto"/>
              <w:jc w:val="center"/>
              <w:rPr>
                <w:rFonts w:ascii="宋体" w:hAnsi="宋体" w:cs="宋体"/>
                <w:color w:val="auto"/>
                <w:kern w:val="0"/>
                <w:szCs w:val="21"/>
                <w:highlight w:val="none"/>
              </w:rPr>
            </w:pPr>
          </w:p>
          <w:p w14:paraId="2DB0FD0B">
            <w:pPr>
              <w:snapToGrid w:val="0"/>
              <w:spacing w:line="300" w:lineRule="auto"/>
              <w:jc w:val="center"/>
              <w:rPr>
                <w:rFonts w:ascii="宋体" w:hAnsi="宋体" w:cs="宋体"/>
                <w:color w:val="auto"/>
                <w:kern w:val="0"/>
                <w:szCs w:val="21"/>
                <w:highlight w:val="none"/>
              </w:rPr>
            </w:pPr>
          </w:p>
          <w:p w14:paraId="5DA10479">
            <w:pPr>
              <w:snapToGrid w:val="0"/>
              <w:spacing w:line="300" w:lineRule="auto"/>
              <w:jc w:val="center"/>
              <w:rPr>
                <w:rFonts w:ascii="宋体" w:hAnsi="宋体" w:cs="宋体"/>
                <w:color w:val="auto"/>
                <w:kern w:val="0"/>
                <w:szCs w:val="21"/>
                <w:highlight w:val="none"/>
              </w:rPr>
            </w:pPr>
          </w:p>
          <w:p w14:paraId="3C0E6E0C">
            <w:pPr>
              <w:snapToGrid w:val="0"/>
              <w:spacing w:line="300" w:lineRule="auto"/>
              <w:jc w:val="center"/>
              <w:rPr>
                <w:rFonts w:ascii="宋体" w:hAnsi="宋体" w:cs="宋体"/>
                <w:color w:val="auto"/>
                <w:kern w:val="0"/>
                <w:szCs w:val="21"/>
                <w:highlight w:val="none"/>
              </w:rPr>
            </w:pPr>
          </w:p>
          <w:p w14:paraId="2F60B5C3">
            <w:pPr>
              <w:snapToGrid w:val="0"/>
              <w:spacing w:line="300" w:lineRule="auto"/>
              <w:jc w:val="center"/>
              <w:rPr>
                <w:rFonts w:ascii="宋体" w:hAnsi="宋体" w:cs="宋体"/>
                <w:color w:val="auto"/>
                <w:kern w:val="0"/>
                <w:szCs w:val="21"/>
                <w:highlight w:val="none"/>
              </w:rPr>
            </w:pPr>
          </w:p>
          <w:p w14:paraId="450ACCBC">
            <w:pPr>
              <w:snapToGrid w:val="0"/>
              <w:spacing w:line="300" w:lineRule="auto"/>
              <w:jc w:val="center"/>
              <w:rPr>
                <w:rFonts w:ascii="宋体" w:hAnsi="宋体" w:cs="宋体"/>
                <w:color w:val="auto"/>
                <w:kern w:val="0"/>
                <w:szCs w:val="21"/>
                <w:highlight w:val="none"/>
              </w:rPr>
            </w:pPr>
          </w:p>
          <w:p w14:paraId="350C580C">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14:paraId="2475230A">
            <w:pPr>
              <w:snapToGrid w:val="0"/>
              <w:spacing w:line="300" w:lineRule="auto"/>
              <w:jc w:val="center"/>
              <w:rPr>
                <w:rFonts w:ascii="宋体" w:hAnsi="宋体" w:cs="宋体"/>
                <w:color w:val="auto"/>
                <w:kern w:val="0"/>
                <w:szCs w:val="21"/>
                <w:highlight w:val="none"/>
              </w:rPr>
            </w:pPr>
          </w:p>
          <w:p w14:paraId="1E088E70">
            <w:pPr>
              <w:snapToGrid w:val="0"/>
              <w:spacing w:line="300" w:lineRule="auto"/>
              <w:jc w:val="center"/>
              <w:rPr>
                <w:rFonts w:ascii="宋体" w:hAnsi="宋体" w:cs="宋体"/>
                <w:color w:val="auto"/>
                <w:kern w:val="0"/>
                <w:szCs w:val="21"/>
                <w:highlight w:val="none"/>
              </w:rPr>
            </w:pPr>
          </w:p>
          <w:p w14:paraId="680630CE">
            <w:pPr>
              <w:snapToGrid w:val="0"/>
              <w:spacing w:line="300" w:lineRule="auto"/>
              <w:jc w:val="center"/>
              <w:rPr>
                <w:rFonts w:ascii="宋体" w:hAnsi="宋体" w:cs="宋体"/>
                <w:color w:val="auto"/>
                <w:kern w:val="0"/>
                <w:szCs w:val="21"/>
                <w:highlight w:val="none"/>
              </w:rPr>
            </w:pPr>
          </w:p>
          <w:p w14:paraId="6DA3ADCC">
            <w:pPr>
              <w:snapToGrid w:val="0"/>
              <w:spacing w:line="300" w:lineRule="auto"/>
              <w:jc w:val="center"/>
              <w:rPr>
                <w:rFonts w:ascii="宋体" w:hAnsi="宋体" w:cs="宋体"/>
                <w:color w:val="auto"/>
                <w:kern w:val="0"/>
                <w:szCs w:val="21"/>
                <w:highlight w:val="none"/>
              </w:rPr>
            </w:pPr>
          </w:p>
          <w:p w14:paraId="5D090576">
            <w:pPr>
              <w:snapToGrid w:val="0"/>
              <w:spacing w:line="300" w:lineRule="auto"/>
              <w:jc w:val="center"/>
              <w:rPr>
                <w:rFonts w:ascii="宋体" w:hAnsi="宋体" w:cs="宋体"/>
                <w:color w:val="auto"/>
                <w:kern w:val="0"/>
                <w:szCs w:val="21"/>
                <w:highlight w:val="none"/>
              </w:rPr>
            </w:pPr>
          </w:p>
          <w:p w14:paraId="5F4EE134">
            <w:pPr>
              <w:snapToGrid w:val="0"/>
              <w:spacing w:line="300" w:lineRule="auto"/>
              <w:jc w:val="center"/>
              <w:rPr>
                <w:rFonts w:ascii="宋体" w:hAnsi="宋体" w:cs="宋体"/>
                <w:color w:val="auto"/>
                <w:kern w:val="0"/>
                <w:szCs w:val="21"/>
                <w:highlight w:val="none"/>
              </w:rPr>
            </w:pPr>
          </w:p>
          <w:p w14:paraId="0938FFFD">
            <w:pPr>
              <w:snapToGrid w:val="0"/>
              <w:spacing w:line="300" w:lineRule="auto"/>
              <w:jc w:val="center"/>
              <w:rPr>
                <w:rFonts w:ascii="宋体" w:hAnsi="宋体" w:cs="宋体"/>
                <w:color w:val="auto"/>
                <w:kern w:val="0"/>
                <w:szCs w:val="21"/>
                <w:highlight w:val="none"/>
              </w:rPr>
            </w:pPr>
          </w:p>
          <w:p w14:paraId="1408ACAC">
            <w:pPr>
              <w:snapToGrid w:val="0"/>
              <w:spacing w:line="300" w:lineRule="auto"/>
              <w:jc w:val="center"/>
              <w:rPr>
                <w:rFonts w:ascii="宋体" w:hAnsi="宋体" w:cs="宋体"/>
                <w:color w:val="auto"/>
                <w:kern w:val="0"/>
                <w:szCs w:val="21"/>
                <w:highlight w:val="none"/>
              </w:rPr>
            </w:pPr>
          </w:p>
          <w:p w14:paraId="696B1CB9">
            <w:pPr>
              <w:snapToGrid w:val="0"/>
              <w:spacing w:line="300" w:lineRule="auto"/>
              <w:jc w:val="center"/>
              <w:rPr>
                <w:rFonts w:ascii="宋体" w:hAnsi="宋体" w:cs="宋体"/>
                <w:color w:val="auto"/>
                <w:kern w:val="0"/>
                <w:szCs w:val="21"/>
                <w:highlight w:val="none"/>
              </w:rPr>
            </w:pPr>
          </w:p>
          <w:p w14:paraId="00D13FCB">
            <w:pPr>
              <w:snapToGrid w:val="0"/>
              <w:spacing w:line="300" w:lineRule="auto"/>
              <w:jc w:val="center"/>
              <w:rPr>
                <w:rFonts w:ascii="宋体" w:hAnsi="宋体" w:cs="宋体"/>
                <w:color w:val="auto"/>
                <w:kern w:val="0"/>
                <w:szCs w:val="21"/>
                <w:highlight w:val="none"/>
              </w:rPr>
            </w:pPr>
          </w:p>
          <w:p w14:paraId="0955A147">
            <w:pPr>
              <w:snapToGrid w:val="0"/>
              <w:spacing w:line="300" w:lineRule="auto"/>
              <w:jc w:val="center"/>
              <w:rPr>
                <w:rFonts w:ascii="宋体" w:hAnsi="宋体" w:cs="宋体"/>
                <w:color w:val="auto"/>
                <w:kern w:val="0"/>
                <w:szCs w:val="21"/>
                <w:highlight w:val="none"/>
              </w:rPr>
            </w:pPr>
          </w:p>
          <w:p w14:paraId="21FA377F">
            <w:pPr>
              <w:snapToGrid w:val="0"/>
              <w:spacing w:line="300" w:lineRule="auto"/>
              <w:jc w:val="center"/>
              <w:rPr>
                <w:rFonts w:ascii="宋体" w:hAnsi="宋体" w:cs="宋体"/>
                <w:color w:val="auto"/>
                <w:kern w:val="0"/>
                <w:szCs w:val="21"/>
                <w:highlight w:val="none"/>
              </w:rPr>
            </w:pPr>
          </w:p>
          <w:p w14:paraId="036F8AB1">
            <w:pPr>
              <w:snapToGrid w:val="0"/>
              <w:spacing w:line="300" w:lineRule="auto"/>
              <w:jc w:val="center"/>
              <w:rPr>
                <w:rFonts w:ascii="宋体" w:hAnsi="宋体" w:cs="宋体"/>
                <w:color w:val="auto"/>
                <w:kern w:val="0"/>
                <w:szCs w:val="21"/>
                <w:highlight w:val="none"/>
              </w:rPr>
            </w:pPr>
          </w:p>
          <w:p w14:paraId="6D64BEA7">
            <w:pPr>
              <w:snapToGrid w:val="0"/>
              <w:spacing w:line="300" w:lineRule="auto"/>
              <w:jc w:val="center"/>
              <w:rPr>
                <w:rFonts w:ascii="宋体" w:hAnsi="宋体" w:cs="宋体"/>
                <w:color w:val="auto"/>
                <w:kern w:val="0"/>
                <w:szCs w:val="21"/>
                <w:highlight w:val="none"/>
              </w:rPr>
            </w:pPr>
          </w:p>
          <w:p w14:paraId="73190F1A">
            <w:pPr>
              <w:snapToGrid w:val="0"/>
              <w:spacing w:line="300" w:lineRule="auto"/>
              <w:jc w:val="center"/>
              <w:rPr>
                <w:rFonts w:ascii="宋体" w:hAnsi="宋体" w:cs="宋体"/>
                <w:color w:val="auto"/>
                <w:kern w:val="0"/>
                <w:szCs w:val="21"/>
                <w:highlight w:val="none"/>
              </w:rPr>
            </w:pPr>
          </w:p>
          <w:p w14:paraId="0AB70264">
            <w:pPr>
              <w:snapToGrid w:val="0"/>
              <w:spacing w:line="300" w:lineRule="auto"/>
              <w:jc w:val="center"/>
              <w:rPr>
                <w:rFonts w:ascii="宋体" w:hAnsi="宋体" w:cs="宋体"/>
                <w:color w:val="auto"/>
                <w:kern w:val="0"/>
                <w:szCs w:val="21"/>
                <w:highlight w:val="none"/>
              </w:rPr>
            </w:pPr>
          </w:p>
          <w:p w14:paraId="32A644B3">
            <w:pPr>
              <w:snapToGrid w:val="0"/>
              <w:spacing w:line="300" w:lineRule="auto"/>
              <w:jc w:val="center"/>
              <w:rPr>
                <w:rFonts w:ascii="宋体" w:hAnsi="宋体" w:cs="宋体"/>
                <w:color w:val="auto"/>
                <w:kern w:val="0"/>
                <w:szCs w:val="21"/>
                <w:highlight w:val="none"/>
              </w:rPr>
            </w:pPr>
          </w:p>
          <w:p w14:paraId="02E9A022">
            <w:pPr>
              <w:snapToGrid w:val="0"/>
              <w:spacing w:line="300" w:lineRule="auto"/>
              <w:jc w:val="center"/>
              <w:rPr>
                <w:rFonts w:ascii="宋体" w:hAnsi="宋体" w:cs="宋体"/>
                <w:color w:val="auto"/>
                <w:kern w:val="0"/>
                <w:szCs w:val="21"/>
                <w:highlight w:val="none"/>
              </w:rPr>
            </w:pPr>
          </w:p>
          <w:p w14:paraId="284C6B86">
            <w:pPr>
              <w:snapToGrid w:val="0"/>
              <w:spacing w:line="300" w:lineRule="auto"/>
              <w:jc w:val="center"/>
              <w:rPr>
                <w:rFonts w:ascii="宋体" w:hAnsi="宋体" w:cs="宋体"/>
                <w:color w:val="auto"/>
                <w:kern w:val="0"/>
                <w:szCs w:val="21"/>
                <w:highlight w:val="none"/>
              </w:rPr>
            </w:pPr>
          </w:p>
          <w:p w14:paraId="7414E69F">
            <w:pPr>
              <w:snapToGrid w:val="0"/>
              <w:spacing w:line="300" w:lineRule="auto"/>
              <w:jc w:val="center"/>
              <w:rPr>
                <w:rFonts w:ascii="宋体" w:hAnsi="宋体" w:cs="宋体"/>
                <w:color w:val="auto"/>
                <w:kern w:val="0"/>
                <w:szCs w:val="21"/>
                <w:highlight w:val="none"/>
              </w:rPr>
            </w:pPr>
          </w:p>
          <w:p w14:paraId="7C0FA385">
            <w:pPr>
              <w:snapToGrid w:val="0"/>
              <w:spacing w:line="300" w:lineRule="auto"/>
              <w:jc w:val="center"/>
              <w:rPr>
                <w:rFonts w:ascii="宋体" w:hAnsi="宋体" w:cs="宋体"/>
                <w:color w:val="auto"/>
                <w:kern w:val="0"/>
                <w:szCs w:val="21"/>
                <w:highlight w:val="none"/>
              </w:rPr>
            </w:pPr>
          </w:p>
          <w:p w14:paraId="39417422">
            <w:pPr>
              <w:snapToGrid w:val="0"/>
              <w:spacing w:line="300" w:lineRule="auto"/>
              <w:rPr>
                <w:rFonts w:ascii="宋体" w:hAnsi="宋体" w:cs="宋体"/>
                <w:color w:val="auto"/>
                <w:kern w:val="0"/>
                <w:szCs w:val="21"/>
                <w:highlight w:val="none"/>
              </w:rPr>
            </w:pPr>
          </w:p>
          <w:p w14:paraId="3EF5080F">
            <w:pPr>
              <w:snapToGrid w:val="0"/>
              <w:spacing w:line="300" w:lineRule="auto"/>
              <w:rPr>
                <w:rFonts w:ascii="宋体" w:hAnsi="宋体" w:cs="宋体"/>
                <w:color w:val="auto"/>
                <w:kern w:val="0"/>
                <w:szCs w:val="21"/>
                <w:highlight w:val="none"/>
              </w:rPr>
            </w:pPr>
          </w:p>
          <w:p w14:paraId="06ADA57A">
            <w:pPr>
              <w:snapToGrid w:val="0"/>
              <w:spacing w:line="300" w:lineRule="auto"/>
              <w:rPr>
                <w:rFonts w:ascii="宋体" w:hAnsi="宋体" w:cs="宋体"/>
                <w:color w:val="auto"/>
                <w:kern w:val="0"/>
                <w:szCs w:val="21"/>
                <w:highlight w:val="none"/>
              </w:rPr>
            </w:pPr>
          </w:p>
          <w:p w14:paraId="515125F7">
            <w:pPr>
              <w:snapToGrid w:val="0"/>
              <w:spacing w:line="300" w:lineRule="auto"/>
              <w:rPr>
                <w:rFonts w:ascii="宋体" w:hAnsi="宋体" w:cs="宋体"/>
                <w:color w:val="auto"/>
                <w:kern w:val="0"/>
                <w:szCs w:val="21"/>
                <w:highlight w:val="none"/>
              </w:rPr>
            </w:pPr>
          </w:p>
          <w:p w14:paraId="1B393102">
            <w:pPr>
              <w:snapToGrid w:val="0"/>
              <w:spacing w:line="300" w:lineRule="auto"/>
              <w:rPr>
                <w:rFonts w:ascii="宋体" w:hAnsi="宋体" w:cs="宋体"/>
                <w:color w:val="auto"/>
                <w:kern w:val="0"/>
                <w:szCs w:val="21"/>
                <w:highlight w:val="none"/>
              </w:rPr>
            </w:pPr>
          </w:p>
          <w:p w14:paraId="5075137B">
            <w:pPr>
              <w:snapToGrid w:val="0"/>
              <w:spacing w:line="300" w:lineRule="auto"/>
              <w:rPr>
                <w:rFonts w:ascii="宋体" w:hAnsi="宋体" w:cs="宋体"/>
                <w:color w:val="auto"/>
                <w:kern w:val="0"/>
                <w:szCs w:val="21"/>
                <w:highlight w:val="none"/>
              </w:rPr>
            </w:pPr>
          </w:p>
          <w:p w14:paraId="6B5CFC5B">
            <w:pPr>
              <w:snapToGrid w:val="0"/>
              <w:spacing w:line="300" w:lineRule="auto"/>
              <w:rPr>
                <w:rFonts w:ascii="宋体" w:hAnsi="宋体" w:cs="宋体"/>
                <w:color w:val="auto"/>
                <w:kern w:val="0"/>
                <w:szCs w:val="21"/>
                <w:highlight w:val="none"/>
              </w:rPr>
            </w:pPr>
          </w:p>
          <w:p w14:paraId="0761FCDD">
            <w:pPr>
              <w:snapToGrid w:val="0"/>
              <w:spacing w:line="300" w:lineRule="auto"/>
              <w:rPr>
                <w:rFonts w:ascii="宋体" w:hAnsi="宋体" w:cs="宋体"/>
                <w:color w:val="auto"/>
                <w:kern w:val="0"/>
                <w:szCs w:val="21"/>
                <w:highlight w:val="none"/>
              </w:rPr>
            </w:pPr>
          </w:p>
          <w:p w14:paraId="75EF35D2">
            <w:pPr>
              <w:snapToGrid w:val="0"/>
              <w:spacing w:line="300" w:lineRule="auto"/>
              <w:rPr>
                <w:rFonts w:ascii="宋体" w:hAnsi="宋体" w:cs="宋体"/>
                <w:color w:val="auto"/>
                <w:kern w:val="0"/>
                <w:szCs w:val="21"/>
                <w:highlight w:val="none"/>
              </w:rPr>
            </w:pPr>
          </w:p>
          <w:p w14:paraId="6104EB08">
            <w:pPr>
              <w:snapToGrid w:val="0"/>
              <w:spacing w:line="300" w:lineRule="auto"/>
              <w:rPr>
                <w:rFonts w:ascii="宋体" w:hAnsi="宋体" w:cs="宋体"/>
                <w:color w:val="auto"/>
                <w:kern w:val="0"/>
                <w:szCs w:val="21"/>
                <w:highlight w:val="none"/>
              </w:rPr>
            </w:pPr>
          </w:p>
          <w:p w14:paraId="5610D794">
            <w:pPr>
              <w:snapToGrid w:val="0"/>
              <w:spacing w:line="300" w:lineRule="auto"/>
              <w:jc w:val="center"/>
              <w:rPr>
                <w:rFonts w:ascii="宋体" w:hAnsi="宋体" w:cs="宋体"/>
                <w:color w:val="auto"/>
                <w:kern w:val="0"/>
                <w:szCs w:val="21"/>
                <w:highlight w:val="none"/>
              </w:rPr>
            </w:pPr>
          </w:p>
          <w:p w14:paraId="62B007E4">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1500" w:type="dxa"/>
            <w:vAlign w:val="center"/>
          </w:tcPr>
          <w:p w14:paraId="4BB32772">
            <w:pPr>
              <w:snapToGrid w:val="0"/>
              <w:spacing w:line="300" w:lineRule="auto"/>
              <w:jc w:val="center"/>
              <w:rPr>
                <w:rFonts w:ascii="宋体" w:hAnsi="宋体" w:cs="宋体"/>
                <w:color w:val="auto"/>
                <w:kern w:val="0"/>
                <w:szCs w:val="21"/>
                <w:highlight w:val="none"/>
              </w:rPr>
            </w:pPr>
          </w:p>
          <w:p w14:paraId="6C2BBF80">
            <w:pPr>
              <w:snapToGrid w:val="0"/>
              <w:spacing w:line="300" w:lineRule="auto"/>
              <w:rPr>
                <w:rFonts w:ascii="宋体" w:hAnsi="宋体" w:cs="宋体"/>
                <w:color w:val="auto"/>
                <w:kern w:val="0"/>
                <w:szCs w:val="21"/>
                <w:highlight w:val="none"/>
              </w:rPr>
            </w:pPr>
          </w:p>
          <w:p w14:paraId="04E03745">
            <w:pPr>
              <w:snapToGrid w:val="0"/>
              <w:spacing w:line="300" w:lineRule="auto"/>
              <w:jc w:val="center"/>
              <w:rPr>
                <w:rFonts w:ascii="宋体" w:hAnsi="宋体" w:cs="宋体"/>
                <w:color w:val="auto"/>
                <w:kern w:val="0"/>
                <w:szCs w:val="21"/>
                <w:highlight w:val="none"/>
              </w:rPr>
            </w:pPr>
          </w:p>
          <w:p w14:paraId="443FE2B1">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投标人资质条件、能力和信誉</w:t>
            </w:r>
          </w:p>
          <w:p w14:paraId="1D245270">
            <w:pPr>
              <w:snapToGrid w:val="0"/>
              <w:spacing w:line="300" w:lineRule="auto"/>
              <w:jc w:val="center"/>
              <w:rPr>
                <w:rFonts w:ascii="宋体" w:hAnsi="宋体" w:cs="宋体"/>
                <w:color w:val="auto"/>
                <w:kern w:val="0"/>
                <w:szCs w:val="21"/>
                <w:highlight w:val="none"/>
              </w:rPr>
            </w:pPr>
          </w:p>
          <w:p w14:paraId="09A9A8AB">
            <w:pPr>
              <w:snapToGrid w:val="0"/>
              <w:spacing w:line="300" w:lineRule="auto"/>
              <w:jc w:val="center"/>
              <w:rPr>
                <w:rFonts w:ascii="宋体" w:hAnsi="宋体" w:cs="宋体"/>
                <w:color w:val="auto"/>
                <w:kern w:val="0"/>
                <w:szCs w:val="21"/>
                <w:highlight w:val="none"/>
              </w:rPr>
            </w:pPr>
          </w:p>
          <w:p w14:paraId="4B88DC70">
            <w:pPr>
              <w:snapToGrid w:val="0"/>
              <w:spacing w:line="300" w:lineRule="auto"/>
              <w:jc w:val="center"/>
              <w:rPr>
                <w:rFonts w:ascii="宋体" w:hAnsi="宋体" w:cs="宋体"/>
                <w:color w:val="auto"/>
                <w:kern w:val="0"/>
                <w:szCs w:val="21"/>
                <w:highlight w:val="none"/>
              </w:rPr>
            </w:pPr>
          </w:p>
          <w:p w14:paraId="34ADBC9D">
            <w:pPr>
              <w:snapToGrid w:val="0"/>
              <w:spacing w:line="300" w:lineRule="auto"/>
              <w:jc w:val="center"/>
              <w:rPr>
                <w:rFonts w:ascii="宋体" w:hAnsi="宋体" w:cs="宋体"/>
                <w:color w:val="auto"/>
                <w:kern w:val="0"/>
                <w:szCs w:val="21"/>
                <w:highlight w:val="none"/>
              </w:rPr>
            </w:pPr>
          </w:p>
          <w:p w14:paraId="43BAD96F">
            <w:pPr>
              <w:snapToGrid w:val="0"/>
              <w:spacing w:line="300" w:lineRule="auto"/>
              <w:jc w:val="center"/>
              <w:rPr>
                <w:rFonts w:ascii="宋体" w:hAnsi="宋体" w:cs="宋体"/>
                <w:color w:val="auto"/>
                <w:kern w:val="0"/>
                <w:szCs w:val="21"/>
                <w:highlight w:val="none"/>
              </w:rPr>
            </w:pPr>
          </w:p>
          <w:p w14:paraId="25D6C0FC">
            <w:pPr>
              <w:snapToGrid w:val="0"/>
              <w:spacing w:line="300" w:lineRule="auto"/>
              <w:jc w:val="center"/>
              <w:rPr>
                <w:rFonts w:ascii="宋体" w:hAnsi="宋体" w:cs="宋体"/>
                <w:color w:val="auto"/>
                <w:kern w:val="0"/>
                <w:szCs w:val="21"/>
                <w:highlight w:val="none"/>
              </w:rPr>
            </w:pPr>
          </w:p>
          <w:p w14:paraId="28A417B7">
            <w:pPr>
              <w:snapToGrid w:val="0"/>
              <w:spacing w:line="300" w:lineRule="auto"/>
              <w:jc w:val="center"/>
              <w:rPr>
                <w:rFonts w:ascii="宋体" w:hAnsi="宋体" w:cs="宋体"/>
                <w:color w:val="auto"/>
                <w:kern w:val="0"/>
                <w:szCs w:val="21"/>
                <w:highlight w:val="none"/>
              </w:rPr>
            </w:pPr>
          </w:p>
          <w:p w14:paraId="47C6C1CF">
            <w:pPr>
              <w:snapToGrid w:val="0"/>
              <w:spacing w:line="300" w:lineRule="auto"/>
              <w:jc w:val="center"/>
              <w:rPr>
                <w:rFonts w:ascii="宋体" w:hAnsi="宋体" w:cs="宋体"/>
                <w:color w:val="auto"/>
                <w:kern w:val="0"/>
                <w:szCs w:val="21"/>
                <w:highlight w:val="none"/>
              </w:rPr>
            </w:pPr>
          </w:p>
          <w:p w14:paraId="388EF2D3">
            <w:pPr>
              <w:snapToGrid w:val="0"/>
              <w:spacing w:line="300" w:lineRule="auto"/>
              <w:jc w:val="center"/>
              <w:rPr>
                <w:rFonts w:ascii="宋体" w:hAnsi="宋体" w:cs="宋体"/>
                <w:color w:val="auto"/>
                <w:kern w:val="0"/>
                <w:szCs w:val="21"/>
                <w:highlight w:val="none"/>
              </w:rPr>
            </w:pPr>
          </w:p>
          <w:p w14:paraId="539406DF">
            <w:pPr>
              <w:snapToGrid w:val="0"/>
              <w:spacing w:line="300" w:lineRule="auto"/>
              <w:jc w:val="center"/>
              <w:rPr>
                <w:rFonts w:ascii="宋体" w:hAnsi="宋体" w:cs="宋体"/>
                <w:color w:val="auto"/>
                <w:kern w:val="0"/>
                <w:szCs w:val="21"/>
                <w:highlight w:val="none"/>
              </w:rPr>
            </w:pPr>
          </w:p>
          <w:p w14:paraId="7270EB71">
            <w:pPr>
              <w:snapToGrid w:val="0"/>
              <w:spacing w:line="300" w:lineRule="auto"/>
              <w:jc w:val="center"/>
              <w:rPr>
                <w:rFonts w:ascii="宋体" w:hAnsi="宋体" w:cs="宋体"/>
                <w:color w:val="auto"/>
                <w:kern w:val="0"/>
                <w:szCs w:val="21"/>
                <w:highlight w:val="none"/>
              </w:rPr>
            </w:pPr>
          </w:p>
          <w:p w14:paraId="410E702B">
            <w:pPr>
              <w:snapToGrid w:val="0"/>
              <w:spacing w:line="300" w:lineRule="auto"/>
              <w:jc w:val="center"/>
              <w:rPr>
                <w:rFonts w:ascii="宋体" w:hAnsi="宋体" w:cs="宋体"/>
                <w:color w:val="auto"/>
                <w:kern w:val="0"/>
                <w:szCs w:val="21"/>
                <w:highlight w:val="none"/>
              </w:rPr>
            </w:pPr>
          </w:p>
          <w:p w14:paraId="2ACF8252">
            <w:pPr>
              <w:snapToGrid w:val="0"/>
              <w:spacing w:line="300" w:lineRule="auto"/>
              <w:jc w:val="center"/>
              <w:rPr>
                <w:rFonts w:ascii="宋体" w:hAnsi="宋体" w:cs="宋体"/>
                <w:color w:val="auto"/>
                <w:kern w:val="0"/>
                <w:szCs w:val="21"/>
                <w:highlight w:val="none"/>
              </w:rPr>
            </w:pPr>
          </w:p>
          <w:p w14:paraId="1033CA36">
            <w:pPr>
              <w:snapToGrid w:val="0"/>
              <w:spacing w:line="300" w:lineRule="auto"/>
              <w:jc w:val="center"/>
              <w:rPr>
                <w:rFonts w:ascii="宋体" w:hAnsi="宋体" w:cs="宋体"/>
                <w:color w:val="auto"/>
                <w:kern w:val="0"/>
                <w:szCs w:val="21"/>
                <w:highlight w:val="none"/>
              </w:rPr>
            </w:pPr>
          </w:p>
          <w:p w14:paraId="13177FB8">
            <w:pPr>
              <w:snapToGrid w:val="0"/>
              <w:spacing w:line="300" w:lineRule="auto"/>
              <w:jc w:val="center"/>
              <w:rPr>
                <w:rFonts w:ascii="宋体" w:hAnsi="宋体" w:cs="宋体"/>
                <w:color w:val="auto"/>
                <w:kern w:val="0"/>
                <w:szCs w:val="21"/>
                <w:highlight w:val="none"/>
              </w:rPr>
            </w:pPr>
          </w:p>
          <w:p w14:paraId="5E790C5A">
            <w:pPr>
              <w:snapToGrid w:val="0"/>
              <w:spacing w:line="300" w:lineRule="auto"/>
              <w:jc w:val="center"/>
              <w:rPr>
                <w:rFonts w:ascii="宋体" w:hAnsi="宋体" w:cs="宋体"/>
                <w:color w:val="auto"/>
                <w:kern w:val="0"/>
                <w:szCs w:val="21"/>
                <w:highlight w:val="none"/>
              </w:rPr>
            </w:pPr>
          </w:p>
          <w:p w14:paraId="10C209B1">
            <w:pPr>
              <w:snapToGrid w:val="0"/>
              <w:spacing w:line="300" w:lineRule="auto"/>
              <w:jc w:val="center"/>
              <w:rPr>
                <w:rFonts w:ascii="宋体" w:hAnsi="宋体" w:cs="宋体"/>
                <w:color w:val="auto"/>
                <w:kern w:val="0"/>
                <w:szCs w:val="21"/>
                <w:highlight w:val="none"/>
              </w:rPr>
            </w:pPr>
          </w:p>
          <w:p w14:paraId="591CC1AE">
            <w:pPr>
              <w:snapToGrid w:val="0"/>
              <w:spacing w:line="300" w:lineRule="auto"/>
              <w:jc w:val="center"/>
              <w:rPr>
                <w:rFonts w:ascii="宋体" w:hAnsi="宋体" w:cs="宋体"/>
                <w:color w:val="auto"/>
                <w:kern w:val="0"/>
                <w:szCs w:val="21"/>
                <w:highlight w:val="none"/>
              </w:rPr>
            </w:pPr>
          </w:p>
          <w:p w14:paraId="72564225">
            <w:pPr>
              <w:snapToGrid w:val="0"/>
              <w:spacing w:line="300" w:lineRule="auto"/>
              <w:jc w:val="center"/>
              <w:rPr>
                <w:rFonts w:ascii="宋体" w:hAnsi="宋体" w:cs="宋体"/>
                <w:color w:val="auto"/>
                <w:kern w:val="0"/>
                <w:szCs w:val="21"/>
                <w:highlight w:val="none"/>
              </w:rPr>
            </w:pPr>
          </w:p>
          <w:p w14:paraId="3DEB9548">
            <w:pPr>
              <w:snapToGrid w:val="0"/>
              <w:spacing w:line="300" w:lineRule="auto"/>
              <w:jc w:val="center"/>
              <w:rPr>
                <w:rFonts w:ascii="宋体" w:hAnsi="宋体" w:cs="宋体"/>
                <w:color w:val="auto"/>
                <w:kern w:val="0"/>
                <w:szCs w:val="21"/>
                <w:highlight w:val="none"/>
              </w:rPr>
            </w:pPr>
          </w:p>
          <w:p w14:paraId="74613D08">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投标人资质条件、能力和信誉</w:t>
            </w:r>
          </w:p>
          <w:p w14:paraId="572E375F">
            <w:pPr>
              <w:snapToGrid w:val="0"/>
              <w:spacing w:line="300" w:lineRule="auto"/>
              <w:jc w:val="center"/>
              <w:rPr>
                <w:rFonts w:ascii="宋体" w:hAnsi="宋体" w:cs="宋体"/>
                <w:color w:val="auto"/>
                <w:kern w:val="0"/>
                <w:szCs w:val="21"/>
                <w:highlight w:val="none"/>
              </w:rPr>
            </w:pPr>
          </w:p>
          <w:p w14:paraId="5AA32E34">
            <w:pPr>
              <w:snapToGrid w:val="0"/>
              <w:spacing w:line="300" w:lineRule="auto"/>
              <w:jc w:val="center"/>
              <w:rPr>
                <w:rFonts w:ascii="宋体" w:hAnsi="宋体" w:cs="宋体"/>
                <w:color w:val="auto"/>
                <w:kern w:val="0"/>
                <w:szCs w:val="21"/>
                <w:highlight w:val="none"/>
              </w:rPr>
            </w:pPr>
          </w:p>
          <w:p w14:paraId="16C79027">
            <w:pPr>
              <w:snapToGrid w:val="0"/>
              <w:spacing w:line="300" w:lineRule="auto"/>
              <w:jc w:val="center"/>
              <w:rPr>
                <w:rFonts w:ascii="宋体" w:hAnsi="宋体" w:cs="宋体"/>
                <w:color w:val="auto"/>
                <w:kern w:val="0"/>
                <w:szCs w:val="21"/>
                <w:highlight w:val="none"/>
              </w:rPr>
            </w:pPr>
          </w:p>
          <w:p w14:paraId="4B742E92">
            <w:pPr>
              <w:snapToGrid w:val="0"/>
              <w:spacing w:line="300" w:lineRule="auto"/>
              <w:jc w:val="center"/>
              <w:rPr>
                <w:rFonts w:ascii="宋体" w:hAnsi="宋体" w:cs="宋体"/>
                <w:color w:val="auto"/>
                <w:kern w:val="0"/>
                <w:szCs w:val="21"/>
                <w:highlight w:val="none"/>
              </w:rPr>
            </w:pPr>
          </w:p>
          <w:p w14:paraId="72F2D0EA">
            <w:pPr>
              <w:snapToGrid w:val="0"/>
              <w:spacing w:line="300" w:lineRule="auto"/>
              <w:jc w:val="center"/>
              <w:rPr>
                <w:rFonts w:ascii="宋体" w:hAnsi="宋体" w:cs="宋体"/>
                <w:color w:val="auto"/>
                <w:kern w:val="0"/>
                <w:szCs w:val="21"/>
                <w:highlight w:val="none"/>
              </w:rPr>
            </w:pPr>
          </w:p>
          <w:p w14:paraId="44FA9C9B">
            <w:pPr>
              <w:snapToGrid w:val="0"/>
              <w:spacing w:line="300" w:lineRule="auto"/>
              <w:jc w:val="center"/>
              <w:rPr>
                <w:rFonts w:ascii="宋体" w:hAnsi="宋体" w:cs="宋体"/>
                <w:color w:val="auto"/>
                <w:kern w:val="0"/>
                <w:szCs w:val="21"/>
                <w:highlight w:val="none"/>
              </w:rPr>
            </w:pPr>
          </w:p>
          <w:p w14:paraId="0D4FEC58">
            <w:pPr>
              <w:snapToGrid w:val="0"/>
              <w:spacing w:line="300" w:lineRule="auto"/>
              <w:jc w:val="center"/>
              <w:rPr>
                <w:rFonts w:ascii="宋体" w:hAnsi="宋体" w:cs="宋体"/>
                <w:color w:val="auto"/>
                <w:kern w:val="0"/>
                <w:szCs w:val="21"/>
                <w:highlight w:val="none"/>
              </w:rPr>
            </w:pPr>
          </w:p>
          <w:p w14:paraId="34CD76D6">
            <w:pPr>
              <w:snapToGrid w:val="0"/>
              <w:spacing w:line="300" w:lineRule="auto"/>
              <w:jc w:val="center"/>
              <w:rPr>
                <w:rFonts w:ascii="宋体" w:hAnsi="宋体" w:cs="宋体"/>
                <w:color w:val="auto"/>
                <w:kern w:val="0"/>
                <w:szCs w:val="21"/>
                <w:highlight w:val="none"/>
              </w:rPr>
            </w:pPr>
          </w:p>
          <w:p w14:paraId="55C4F40B">
            <w:pPr>
              <w:snapToGrid w:val="0"/>
              <w:spacing w:line="300" w:lineRule="auto"/>
              <w:jc w:val="center"/>
              <w:rPr>
                <w:rFonts w:ascii="宋体" w:hAnsi="宋体" w:cs="宋体"/>
                <w:color w:val="auto"/>
                <w:kern w:val="0"/>
                <w:szCs w:val="21"/>
                <w:highlight w:val="none"/>
              </w:rPr>
            </w:pPr>
          </w:p>
          <w:p w14:paraId="2F59B82A">
            <w:pPr>
              <w:snapToGrid w:val="0"/>
              <w:spacing w:line="300" w:lineRule="auto"/>
              <w:jc w:val="center"/>
              <w:rPr>
                <w:rFonts w:ascii="宋体" w:hAnsi="宋体" w:cs="宋体"/>
                <w:color w:val="auto"/>
                <w:kern w:val="0"/>
                <w:szCs w:val="21"/>
                <w:highlight w:val="none"/>
              </w:rPr>
            </w:pPr>
          </w:p>
          <w:p w14:paraId="020D736F">
            <w:pPr>
              <w:snapToGrid w:val="0"/>
              <w:spacing w:line="300" w:lineRule="auto"/>
              <w:jc w:val="center"/>
              <w:rPr>
                <w:rFonts w:ascii="宋体" w:hAnsi="宋体" w:cs="宋体"/>
                <w:color w:val="auto"/>
                <w:kern w:val="0"/>
                <w:szCs w:val="21"/>
                <w:highlight w:val="none"/>
              </w:rPr>
            </w:pPr>
          </w:p>
          <w:p w14:paraId="0FC4D07A">
            <w:pPr>
              <w:snapToGrid w:val="0"/>
              <w:spacing w:line="300" w:lineRule="auto"/>
              <w:jc w:val="center"/>
              <w:rPr>
                <w:rFonts w:ascii="宋体" w:hAnsi="宋体" w:cs="宋体"/>
                <w:color w:val="auto"/>
                <w:kern w:val="0"/>
                <w:szCs w:val="21"/>
                <w:highlight w:val="none"/>
              </w:rPr>
            </w:pPr>
          </w:p>
          <w:p w14:paraId="0E61773A">
            <w:pPr>
              <w:snapToGrid w:val="0"/>
              <w:spacing w:line="300" w:lineRule="auto"/>
              <w:jc w:val="center"/>
              <w:rPr>
                <w:rFonts w:ascii="宋体" w:hAnsi="宋体" w:cs="宋体"/>
                <w:color w:val="auto"/>
                <w:kern w:val="0"/>
                <w:szCs w:val="21"/>
                <w:highlight w:val="none"/>
              </w:rPr>
            </w:pPr>
          </w:p>
          <w:p w14:paraId="0C28F391">
            <w:pPr>
              <w:snapToGrid w:val="0"/>
              <w:spacing w:line="300" w:lineRule="auto"/>
              <w:jc w:val="center"/>
              <w:rPr>
                <w:rFonts w:ascii="宋体" w:hAnsi="宋体" w:cs="宋体"/>
                <w:color w:val="auto"/>
                <w:kern w:val="0"/>
                <w:szCs w:val="21"/>
                <w:highlight w:val="none"/>
              </w:rPr>
            </w:pPr>
          </w:p>
          <w:p w14:paraId="04255977">
            <w:pPr>
              <w:snapToGrid w:val="0"/>
              <w:spacing w:line="300" w:lineRule="auto"/>
              <w:jc w:val="center"/>
              <w:rPr>
                <w:rFonts w:ascii="宋体" w:hAnsi="宋体" w:cs="宋体"/>
                <w:color w:val="auto"/>
                <w:kern w:val="0"/>
                <w:szCs w:val="21"/>
                <w:highlight w:val="none"/>
              </w:rPr>
            </w:pPr>
          </w:p>
          <w:p w14:paraId="32584605">
            <w:pPr>
              <w:snapToGrid w:val="0"/>
              <w:spacing w:line="300" w:lineRule="auto"/>
              <w:jc w:val="center"/>
              <w:rPr>
                <w:rFonts w:ascii="宋体" w:hAnsi="宋体" w:cs="宋体"/>
                <w:color w:val="auto"/>
                <w:kern w:val="0"/>
                <w:szCs w:val="21"/>
                <w:highlight w:val="none"/>
              </w:rPr>
            </w:pPr>
          </w:p>
          <w:p w14:paraId="4821BB7A">
            <w:pPr>
              <w:snapToGrid w:val="0"/>
              <w:spacing w:line="300" w:lineRule="auto"/>
              <w:jc w:val="center"/>
              <w:rPr>
                <w:rFonts w:ascii="宋体" w:hAnsi="宋体" w:cs="宋体"/>
                <w:color w:val="auto"/>
                <w:kern w:val="0"/>
                <w:szCs w:val="21"/>
                <w:highlight w:val="none"/>
              </w:rPr>
            </w:pPr>
          </w:p>
          <w:p w14:paraId="2546EAC5">
            <w:pPr>
              <w:snapToGrid w:val="0"/>
              <w:spacing w:line="300" w:lineRule="auto"/>
              <w:jc w:val="center"/>
              <w:rPr>
                <w:rFonts w:ascii="宋体" w:hAnsi="宋体" w:cs="宋体"/>
                <w:color w:val="auto"/>
                <w:kern w:val="0"/>
                <w:szCs w:val="21"/>
                <w:highlight w:val="none"/>
              </w:rPr>
            </w:pPr>
          </w:p>
          <w:p w14:paraId="0247C975">
            <w:pPr>
              <w:snapToGrid w:val="0"/>
              <w:spacing w:line="300" w:lineRule="auto"/>
              <w:jc w:val="center"/>
              <w:rPr>
                <w:rFonts w:ascii="宋体" w:hAnsi="宋体" w:cs="宋体"/>
                <w:color w:val="auto"/>
                <w:kern w:val="0"/>
                <w:szCs w:val="21"/>
                <w:highlight w:val="none"/>
              </w:rPr>
            </w:pPr>
          </w:p>
          <w:p w14:paraId="3C3462E0">
            <w:pPr>
              <w:snapToGrid w:val="0"/>
              <w:spacing w:line="300" w:lineRule="auto"/>
              <w:jc w:val="center"/>
              <w:rPr>
                <w:rFonts w:ascii="宋体" w:hAnsi="宋体" w:cs="宋体"/>
                <w:color w:val="auto"/>
                <w:kern w:val="0"/>
                <w:szCs w:val="21"/>
                <w:highlight w:val="none"/>
              </w:rPr>
            </w:pPr>
          </w:p>
          <w:p w14:paraId="39C096B4">
            <w:pPr>
              <w:snapToGrid w:val="0"/>
              <w:spacing w:line="300" w:lineRule="auto"/>
              <w:jc w:val="center"/>
              <w:rPr>
                <w:rFonts w:ascii="宋体" w:hAnsi="宋体" w:cs="宋体"/>
                <w:color w:val="auto"/>
                <w:kern w:val="0"/>
                <w:szCs w:val="21"/>
                <w:highlight w:val="none"/>
              </w:rPr>
            </w:pPr>
          </w:p>
          <w:p w14:paraId="4CBB9826">
            <w:pPr>
              <w:snapToGrid w:val="0"/>
              <w:spacing w:line="300" w:lineRule="auto"/>
              <w:jc w:val="center"/>
              <w:rPr>
                <w:rFonts w:ascii="宋体" w:hAnsi="宋体" w:cs="宋体"/>
                <w:color w:val="auto"/>
                <w:kern w:val="0"/>
                <w:szCs w:val="21"/>
                <w:highlight w:val="none"/>
              </w:rPr>
            </w:pPr>
          </w:p>
          <w:p w14:paraId="6FE9C364">
            <w:pPr>
              <w:snapToGrid w:val="0"/>
              <w:spacing w:line="300" w:lineRule="auto"/>
              <w:jc w:val="center"/>
              <w:rPr>
                <w:rFonts w:ascii="宋体" w:hAnsi="宋体" w:cs="宋体"/>
                <w:color w:val="auto"/>
                <w:kern w:val="0"/>
                <w:szCs w:val="21"/>
                <w:highlight w:val="none"/>
              </w:rPr>
            </w:pPr>
          </w:p>
          <w:p w14:paraId="28B69DD8">
            <w:pPr>
              <w:snapToGrid w:val="0"/>
              <w:spacing w:line="300" w:lineRule="auto"/>
              <w:jc w:val="center"/>
              <w:rPr>
                <w:rFonts w:ascii="宋体" w:hAnsi="宋体" w:cs="宋体"/>
                <w:color w:val="auto"/>
                <w:kern w:val="0"/>
                <w:szCs w:val="21"/>
                <w:highlight w:val="none"/>
              </w:rPr>
            </w:pPr>
          </w:p>
          <w:p w14:paraId="4111B9AF">
            <w:pPr>
              <w:snapToGrid w:val="0"/>
              <w:spacing w:line="300" w:lineRule="auto"/>
              <w:jc w:val="center"/>
              <w:rPr>
                <w:rFonts w:ascii="宋体" w:hAnsi="宋体" w:cs="宋体"/>
                <w:color w:val="auto"/>
                <w:kern w:val="0"/>
                <w:szCs w:val="21"/>
                <w:highlight w:val="none"/>
              </w:rPr>
            </w:pPr>
          </w:p>
          <w:p w14:paraId="40DE187A">
            <w:pPr>
              <w:snapToGrid w:val="0"/>
              <w:spacing w:line="300" w:lineRule="auto"/>
              <w:jc w:val="center"/>
              <w:rPr>
                <w:rFonts w:ascii="宋体" w:hAnsi="宋体" w:cs="宋体"/>
                <w:color w:val="auto"/>
                <w:kern w:val="0"/>
                <w:szCs w:val="21"/>
                <w:highlight w:val="none"/>
              </w:rPr>
            </w:pPr>
          </w:p>
          <w:p w14:paraId="40DE3C76">
            <w:pPr>
              <w:snapToGrid w:val="0"/>
              <w:spacing w:line="300" w:lineRule="auto"/>
              <w:jc w:val="center"/>
              <w:rPr>
                <w:rFonts w:ascii="宋体" w:hAnsi="宋体" w:cs="宋体"/>
                <w:color w:val="auto"/>
                <w:kern w:val="0"/>
                <w:szCs w:val="21"/>
                <w:highlight w:val="none"/>
              </w:rPr>
            </w:pPr>
          </w:p>
          <w:p w14:paraId="36A29543">
            <w:pPr>
              <w:snapToGrid w:val="0"/>
              <w:spacing w:line="300" w:lineRule="auto"/>
              <w:jc w:val="center"/>
              <w:rPr>
                <w:rFonts w:ascii="宋体" w:hAnsi="宋体" w:cs="宋体"/>
                <w:color w:val="auto"/>
                <w:kern w:val="0"/>
                <w:szCs w:val="21"/>
                <w:highlight w:val="none"/>
              </w:rPr>
            </w:pPr>
          </w:p>
          <w:p w14:paraId="252A9298">
            <w:pPr>
              <w:snapToGrid w:val="0"/>
              <w:spacing w:line="300" w:lineRule="auto"/>
              <w:jc w:val="center"/>
              <w:rPr>
                <w:rFonts w:ascii="宋体" w:hAnsi="宋体" w:cs="宋体"/>
                <w:color w:val="auto"/>
                <w:kern w:val="0"/>
                <w:szCs w:val="21"/>
                <w:highlight w:val="none"/>
              </w:rPr>
            </w:pPr>
          </w:p>
          <w:p w14:paraId="4908F06A">
            <w:pPr>
              <w:snapToGrid w:val="0"/>
              <w:spacing w:line="300" w:lineRule="auto"/>
              <w:rPr>
                <w:rFonts w:ascii="宋体" w:hAnsi="宋体" w:cs="宋体"/>
                <w:color w:val="auto"/>
                <w:kern w:val="0"/>
                <w:szCs w:val="21"/>
                <w:highlight w:val="none"/>
              </w:rPr>
            </w:pPr>
          </w:p>
          <w:p w14:paraId="33FBDD6F">
            <w:pPr>
              <w:snapToGrid w:val="0"/>
              <w:spacing w:line="300" w:lineRule="auto"/>
              <w:rPr>
                <w:rFonts w:ascii="宋体" w:hAnsi="宋体" w:cs="宋体"/>
                <w:color w:val="auto"/>
                <w:kern w:val="0"/>
                <w:szCs w:val="21"/>
                <w:highlight w:val="none"/>
              </w:rPr>
            </w:pPr>
          </w:p>
          <w:p w14:paraId="6A84130C">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投标人资质条件、能力和信誉</w:t>
            </w:r>
          </w:p>
          <w:p w14:paraId="3A877E7C">
            <w:pPr>
              <w:snapToGrid w:val="0"/>
              <w:spacing w:line="300" w:lineRule="auto"/>
              <w:rPr>
                <w:rFonts w:ascii="宋体" w:hAnsi="宋体" w:cs="宋体"/>
                <w:color w:val="auto"/>
                <w:kern w:val="0"/>
                <w:szCs w:val="21"/>
                <w:highlight w:val="none"/>
              </w:rPr>
            </w:pPr>
          </w:p>
          <w:p w14:paraId="2E41405C">
            <w:pPr>
              <w:snapToGrid w:val="0"/>
              <w:spacing w:line="300" w:lineRule="auto"/>
              <w:rPr>
                <w:rFonts w:ascii="宋体" w:hAnsi="宋体" w:cs="宋体"/>
                <w:color w:val="auto"/>
                <w:kern w:val="0"/>
                <w:szCs w:val="21"/>
                <w:highlight w:val="none"/>
              </w:rPr>
            </w:pPr>
          </w:p>
          <w:p w14:paraId="41D88968">
            <w:pPr>
              <w:snapToGrid w:val="0"/>
              <w:spacing w:line="300" w:lineRule="auto"/>
              <w:rPr>
                <w:rFonts w:ascii="宋体" w:hAnsi="宋体" w:cs="宋体"/>
                <w:color w:val="auto"/>
                <w:kern w:val="0"/>
                <w:szCs w:val="21"/>
                <w:highlight w:val="none"/>
              </w:rPr>
            </w:pPr>
          </w:p>
          <w:p w14:paraId="700961C2">
            <w:pPr>
              <w:snapToGrid w:val="0"/>
              <w:spacing w:line="300" w:lineRule="auto"/>
              <w:rPr>
                <w:rFonts w:ascii="宋体" w:hAnsi="宋体" w:cs="宋体"/>
                <w:color w:val="auto"/>
                <w:kern w:val="0"/>
                <w:szCs w:val="21"/>
                <w:highlight w:val="none"/>
              </w:rPr>
            </w:pPr>
          </w:p>
          <w:p w14:paraId="669249C9">
            <w:pPr>
              <w:snapToGrid w:val="0"/>
              <w:spacing w:line="300" w:lineRule="auto"/>
              <w:rPr>
                <w:rFonts w:ascii="宋体" w:hAnsi="宋体" w:cs="宋体"/>
                <w:color w:val="auto"/>
                <w:kern w:val="0"/>
                <w:szCs w:val="21"/>
                <w:highlight w:val="none"/>
              </w:rPr>
            </w:pPr>
          </w:p>
          <w:p w14:paraId="5E1F7639">
            <w:pPr>
              <w:snapToGrid w:val="0"/>
              <w:spacing w:line="300" w:lineRule="auto"/>
              <w:rPr>
                <w:rFonts w:ascii="宋体" w:hAnsi="宋体" w:cs="宋体"/>
                <w:color w:val="auto"/>
                <w:kern w:val="0"/>
                <w:szCs w:val="21"/>
                <w:highlight w:val="none"/>
              </w:rPr>
            </w:pPr>
          </w:p>
          <w:p w14:paraId="08D4DA1D">
            <w:pPr>
              <w:snapToGrid w:val="0"/>
              <w:spacing w:line="300" w:lineRule="auto"/>
              <w:rPr>
                <w:rFonts w:ascii="宋体" w:hAnsi="宋体" w:cs="宋体"/>
                <w:color w:val="auto"/>
                <w:kern w:val="0"/>
                <w:szCs w:val="21"/>
                <w:highlight w:val="none"/>
              </w:rPr>
            </w:pPr>
          </w:p>
          <w:p w14:paraId="6C45E7A9">
            <w:pPr>
              <w:snapToGrid w:val="0"/>
              <w:spacing w:line="300" w:lineRule="auto"/>
              <w:rPr>
                <w:rFonts w:ascii="宋体" w:hAnsi="宋体" w:cs="宋体"/>
                <w:color w:val="auto"/>
                <w:kern w:val="0"/>
                <w:szCs w:val="21"/>
                <w:highlight w:val="none"/>
              </w:rPr>
            </w:pPr>
          </w:p>
        </w:tc>
        <w:tc>
          <w:tcPr>
            <w:tcW w:w="7189" w:type="dxa"/>
            <w:vAlign w:val="center"/>
          </w:tcPr>
          <w:p w14:paraId="0CB5C65A">
            <w:pPr>
              <w:autoSpaceDE w:val="0"/>
              <w:autoSpaceDN w:val="0"/>
              <w:adjustRightInd w:val="0"/>
              <w:snapToGrid w:val="0"/>
              <w:spacing w:line="400" w:lineRule="exact"/>
              <w:ind w:firstLine="420" w:firstLineChars="200"/>
              <w:rPr>
                <w:highlight w:val="none"/>
              </w:rPr>
            </w:pPr>
            <w:bookmarkStart w:id="36" w:name="OLE_LINK1"/>
            <w:r>
              <w:rPr>
                <w:highlight w:val="none"/>
              </w:rPr>
              <w:t>本工程施工</w:t>
            </w:r>
            <w:r>
              <w:rPr>
                <w:rFonts w:hint="eastAsia"/>
                <w:highlight w:val="none"/>
                <w:lang w:eastAsia="zh-CN"/>
              </w:rPr>
              <w:t>竞争性比选</w:t>
            </w:r>
            <w:r>
              <w:rPr>
                <w:highlight w:val="none"/>
              </w:rPr>
              <w:t>实行资格后审，投标人应</w:t>
            </w:r>
            <w:bookmarkStart w:id="37" w:name="一是"/>
            <w:bookmarkEnd w:id="37"/>
            <w:r>
              <w:rPr>
                <w:highlight w:val="none"/>
              </w:rPr>
              <w:t>具备以下资格条件：</w:t>
            </w:r>
          </w:p>
          <w:p w14:paraId="63196E24">
            <w:pPr>
              <w:autoSpaceDE w:val="0"/>
              <w:autoSpaceDN w:val="0"/>
              <w:adjustRightInd w:val="0"/>
              <w:snapToGrid w:val="0"/>
              <w:spacing w:line="400" w:lineRule="exact"/>
              <w:ind w:firstLine="420" w:firstLineChars="200"/>
              <w:rPr>
                <w:rFonts w:hint="eastAsia"/>
                <w:highlight w:val="none"/>
              </w:rPr>
            </w:pPr>
            <w:r>
              <w:rPr>
                <w:highlight w:val="none"/>
              </w:rPr>
              <w:t>本工程资质设置严格按照《建筑业企业资质管理规定》（住房城乡建设部第22号令）、《住房城乡建设部关于印发《建筑业企业资质标准》的通知》（建市﹝2014﹞159号文）、住房城乡建设部关于印发《建筑业企业资质管理规定和资质标准实施意见》的通知（建市﹝2015﹞20号）、《住房城乡建设部关于建筑业企业资质管理有关问题的通知》（建市﹝2015﹞154号）</w:t>
            </w:r>
            <w:r>
              <w:rPr>
                <w:rFonts w:hint="eastAsia"/>
                <w:highlight w:val="none"/>
              </w:rPr>
              <w:t>、《住房城乡建设部关于取消建筑智能化等4个工程设计与施工资质有关事项的通知》（建市﹝2015﹞102号）、《住房城乡建设部关于简化建筑业企业资质标准部分指标的通知》（建市﹝2016﹞226号）</w:t>
            </w:r>
            <w:r>
              <w:rPr>
                <w:highlight w:val="none"/>
              </w:rPr>
              <w:t>等相关规定执行。</w:t>
            </w:r>
          </w:p>
          <w:bookmarkEnd w:id="36"/>
          <w:p w14:paraId="36228E96">
            <w:pPr>
              <w:autoSpaceDE w:val="0"/>
              <w:autoSpaceDN w:val="0"/>
              <w:adjustRightInd w:val="0"/>
              <w:snapToGrid w:val="0"/>
              <w:spacing w:line="400" w:lineRule="exact"/>
              <w:ind w:firstLine="420" w:firstLineChars="200"/>
              <w:rPr>
                <w:highlight w:val="none"/>
              </w:rPr>
            </w:pPr>
            <w:r>
              <w:rPr>
                <w:highlight w:val="none"/>
              </w:rPr>
              <w:t>1.资质条件、营业执照及安全生产条件</w:t>
            </w:r>
          </w:p>
          <w:p w14:paraId="7AE135D8">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200"/>
              <w:textAlignment w:val="auto"/>
              <w:rPr>
                <w:rFonts w:hint="eastAsia" w:ascii="宋体" w:hAnsi="宋体"/>
                <w:b/>
                <w:bCs/>
                <w:snapToGrid w:val="0"/>
                <w:color w:val="auto"/>
                <w:kern w:val="0"/>
                <w:szCs w:val="21"/>
                <w:highlight w:val="none"/>
                <w:u w:val="single"/>
                <w:lang w:eastAsia="zh-CN"/>
              </w:rPr>
            </w:pPr>
            <w:r>
              <w:rPr>
                <w:highlight w:val="none"/>
              </w:rPr>
              <w:t>（1）具备建设行政主管部门颁发的有效的</w:t>
            </w:r>
            <w:r>
              <w:rPr>
                <w:rFonts w:hint="eastAsia" w:ascii="宋体" w:hAnsi="宋体"/>
                <w:b/>
                <w:bCs/>
                <w:snapToGrid w:val="0"/>
                <w:kern w:val="0"/>
                <w:szCs w:val="21"/>
                <w:highlight w:val="none"/>
                <w:u w:val="single"/>
                <w:lang w:val="en-US" w:eastAsia="zh-CN"/>
              </w:rPr>
              <w:t>建筑工程施工总承包贰级及以上资质。</w:t>
            </w:r>
          </w:p>
          <w:p w14:paraId="50757064">
            <w:pPr>
              <w:autoSpaceDE w:val="0"/>
              <w:autoSpaceDN w:val="0"/>
              <w:adjustRightInd w:val="0"/>
              <w:snapToGrid w:val="0"/>
              <w:spacing w:line="400" w:lineRule="exact"/>
              <w:ind w:firstLine="420" w:firstLineChars="200"/>
              <w:rPr>
                <w:rFonts w:hint="eastAsia"/>
                <w:highlight w:val="none"/>
              </w:rPr>
            </w:pPr>
            <w:r>
              <w:rPr>
                <w:rFonts w:hint="eastAsia"/>
                <w:highlight w:val="none"/>
              </w:rPr>
              <w:t>投标人</w:t>
            </w:r>
            <w:r>
              <w:rPr>
                <w:highlight w:val="none"/>
              </w:rPr>
              <w:t>须</w:t>
            </w:r>
            <w:r>
              <w:rPr>
                <w:rFonts w:hint="eastAsia"/>
                <w:highlight w:val="none"/>
              </w:rPr>
              <w:t>在投标文件资格审查部分</w:t>
            </w:r>
            <w:r>
              <w:rPr>
                <w:highlight w:val="none"/>
              </w:rPr>
              <w:t>提供</w:t>
            </w:r>
            <w:r>
              <w:rPr>
                <w:rFonts w:hint="eastAsia"/>
                <w:highlight w:val="none"/>
              </w:rPr>
              <w:t>有效的带二维码标识的资质证书</w:t>
            </w:r>
            <w:r>
              <w:rPr>
                <w:highlight w:val="none"/>
              </w:rPr>
              <w:t>复印件。</w:t>
            </w:r>
          </w:p>
          <w:p w14:paraId="6E6DBF84">
            <w:pPr>
              <w:autoSpaceDE w:val="0"/>
              <w:autoSpaceDN w:val="0"/>
              <w:adjustRightInd w:val="0"/>
              <w:snapToGrid w:val="0"/>
              <w:spacing w:line="400" w:lineRule="exact"/>
              <w:ind w:firstLine="420" w:firstLineChars="200"/>
              <w:rPr>
                <w:highlight w:val="none"/>
              </w:rPr>
            </w:pPr>
            <w:r>
              <w:rPr>
                <w:highlight w:val="none"/>
              </w:rPr>
              <w:t>（2）具备有效的营业执照。</w:t>
            </w:r>
          </w:p>
          <w:p w14:paraId="5AAAA8C9">
            <w:pPr>
              <w:autoSpaceDE w:val="0"/>
              <w:autoSpaceDN w:val="0"/>
              <w:adjustRightInd w:val="0"/>
              <w:snapToGrid w:val="0"/>
              <w:spacing w:line="400" w:lineRule="exact"/>
              <w:ind w:firstLine="420" w:firstLineChars="200"/>
              <w:rPr>
                <w:highlight w:val="none"/>
              </w:rPr>
            </w:pPr>
            <w:r>
              <w:rPr>
                <w:rFonts w:hint="eastAsia"/>
                <w:highlight w:val="none"/>
              </w:rPr>
              <w:t>投标人</w:t>
            </w:r>
            <w:r>
              <w:rPr>
                <w:highlight w:val="none"/>
              </w:rPr>
              <w:t>须</w:t>
            </w:r>
            <w:r>
              <w:rPr>
                <w:rFonts w:hint="eastAsia"/>
                <w:highlight w:val="none"/>
              </w:rPr>
              <w:t>在投标文件资格审查部分</w:t>
            </w:r>
            <w:r>
              <w:rPr>
                <w:highlight w:val="none"/>
              </w:rPr>
              <w:t>提供有效的带二维码</w:t>
            </w:r>
            <w:r>
              <w:rPr>
                <w:rFonts w:hint="eastAsia"/>
                <w:highlight w:val="none"/>
              </w:rPr>
              <w:t>标识</w:t>
            </w:r>
            <w:r>
              <w:rPr>
                <w:highlight w:val="none"/>
              </w:rPr>
              <w:t>的营业执照复印件。</w:t>
            </w:r>
          </w:p>
          <w:p w14:paraId="271FED4E">
            <w:pPr>
              <w:autoSpaceDE w:val="0"/>
              <w:autoSpaceDN w:val="0"/>
              <w:adjustRightInd w:val="0"/>
              <w:snapToGrid w:val="0"/>
              <w:spacing w:line="400" w:lineRule="exact"/>
              <w:ind w:firstLine="420" w:firstLineChars="200"/>
              <w:rPr>
                <w:rFonts w:hint="eastAsia"/>
                <w:highlight w:val="none"/>
              </w:rPr>
            </w:pPr>
            <w:r>
              <w:rPr>
                <w:highlight w:val="none"/>
              </w:rPr>
              <w:t>（3）具备建设行政主管部门颁发的有效的安全生产许可证，企业</w:t>
            </w:r>
            <w:r>
              <w:rPr>
                <w:rFonts w:hint="eastAsia"/>
                <w:highlight w:val="none"/>
              </w:rPr>
              <w:t>主要</w:t>
            </w:r>
            <w:r>
              <w:rPr>
                <w:highlight w:val="none"/>
              </w:rPr>
              <w:t>负责人、拟担任该项目项目经理和专职安全生产管理人员（即“三类人员”）具备相应的由建设行政主管部门颁发的有效的安全生产考核合格证书</w:t>
            </w:r>
            <w:r>
              <w:rPr>
                <w:rFonts w:hint="eastAsia"/>
                <w:highlight w:val="none"/>
              </w:rPr>
              <w:t>。</w:t>
            </w:r>
          </w:p>
          <w:p w14:paraId="13532AE7">
            <w:pPr>
              <w:autoSpaceDE w:val="0"/>
              <w:autoSpaceDN w:val="0"/>
              <w:adjustRightInd w:val="0"/>
              <w:snapToGrid w:val="0"/>
              <w:spacing w:line="400" w:lineRule="exact"/>
              <w:ind w:firstLine="420" w:firstLineChars="200"/>
              <w:rPr>
                <w:highlight w:val="none"/>
              </w:rPr>
            </w:pPr>
            <w:r>
              <w:rPr>
                <w:rFonts w:hint="eastAsia"/>
                <w:highlight w:val="none"/>
              </w:rPr>
              <w:t>投标人须在投标文件资格审查部分提供有效的安全生产许可证</w:t>
            </w:r>
            <w:r>
              <w:rPr>
                <w:highlight w:val="none"/>
              </w:rPr>
              <w:t>及“三类人员”安全生产考核合格证书复印件。</w:t>
            </w:r>
          </w:p>
          <w:p w14:paraId="3332CF11">
            <w:pPr>
              <w:adjustRightInd w:val="0"/>
              <w:snapToGrid w:val="0"/>
              <w:spacing w:line="400" w:lineRule="exact"/>
              <w:ind w:firstLine="420" w:firstLineChars="200"/>
              <w:rPr>
                <w:highlight w:val="none"/>
              </w:rPr>
            </w:pPr>
            <w:r>
              <w:rPr>
                <w:rFonts w:hint="eastAsia"/>
                <w:highlight w:val="none"/>
                <w:lang w:val="en-US" w:eastAsia="zh-CN"/>
              </w:rPr>
              <w:t>2</w:t>
            </w:r>
            <w:r>
              <w:rPr>
                <w:highlight w:val="none"/>
              </w:rPr>
              <w:t>.投标截止日投标资格情况</w:t>
            </w:r>
          </w:p>
          <w:p w14:paraId="0ED6FE54">
            <w:pPr>
              <w:snapToGrid w:val="0"/>
              <w:spacing w:line="400" w:lineRule="exact"/>
              <w:ind w:firstLine="420" w:firstLineChars="200"/>
              <w:rPr>
                <w:rFonts w:hint="eastAsia"/>
                <w:highlight w:val="none"/>
              </w:rPr>
            </w:pPr>
            <w:r>
              <w:rPr>
                <w:rFonts w:hint="eastAsia"/>
                <w:highlight w:val="none"/>
              </w:rPr>
              <w:t>投标人自行承诺（格式自拟）不得存在下列情形之一：</w:t>
            </w:r>
          </w:p>
          <w:p w14:paraId="493EBAD2">
            <w:pPr>
              <w:snapToGrid w:val="0"/>
              <w:spacing w:line="400" w:lineRule="exact"/>
              <w:ind w:firstLine="420" w:firstLineChars="200"/>
              <w:jc w:val="left"/>
              <w:rPr>
                <w:rFonts w:hint="eastAsia"/>
                <w:highlight w:val="none"/>
              </w:rPr>
            </w:pPr>
            <w:r>
              <w:rPr>
                <w:rFonts w:hint="eastAsia"/>
                <w:highlight w:val="none"/>
              </w:rPr>
              <w:t>（1）被最高人民法院在“信用中国”网站（</w:t>
            </w:r>
            <w:r>
              <w:rPr>
                <w:highlight w:val="none"/>
              </w:rPr>
              <w:fldChar w:fldCharType="begin"/>
            </w:r>
            <w:r>
              <w:rPr>
                <w:highlight w:val="none"/>
              </w:rPr>
              <w:instrText xml:space="preserve"> HYPERLINK "http://</w:instrText>
            </w:r>
            <w:r>
              <w:rPr>
                <w:rFonts w:hint="eastAsia"/>
                <w:highlight w:val="none"/>
              </w:rPr>
              <w:instrText xml:space="preserve">www.creditchina.gov.cn</w:instrText>
            </w:r>
            <w:r>
              <w:rPr>
                <w:highlight w:val="none"/>
              </w:rPr>
              <w:instrText xml:space="preserve">" </w:instrText>
            </w:r>
            <w:r>
              <w:rPr>
                <w:highlight w:val="none"/>
              </w:rPr>
              <w:fldChar w:fldCharType="separate"/>
            </w:r>
            <w:r>
              <w:rPr>
                <w:rFonts w:hint="eastAsia"/>
                <w:highlight w:val="none"/>
              </w:rPr>
              <w:t>www.creditchina.gov.cn</w:t>
            </w:r>
            <w:r>
              <w:rPr>
                <w:highlight w:val="none"/>
              </w:rPr>
              <w:fldChar w:fldCharType="end"/>
            </w:r>
            <w:r>
              <w:rPr>
                <w:rFonts w:hint="eastAsia"/>
                <w:highlight w:val="none"/>
              </w:rPr>
              <w:t>）列入失信被执行人名单；</w:t>
            </w:r>
          </w:p>
          <w:p w14:paraId="3A61DD1B">
            <w:pPr>
              <w:snapToGrid w:val="0"/>
              <w:spacing w:line="400" w:lineRule="exact"/>
              <w:ind w:firstLine="420" w:firstLineChars="200"/>
              <w:rPr>
                <w:rFonts w:hint="eastAsia"/>
                <w:highlight w:val="none"/>
              </w:rPr>
            </w:pPr>
            <w:r>
              <w:rPr>
                <w:rFonts w:hint="eastAsia"/>
                <w:highlight w:val="none"/>
              </w:rPr>
              <w:t>（2）被列入《重庆市工程建设领域</w:t>
            </w:r>
            <w:r>
              <w:rPr>
                <w:rFonts w:hint="eastAsia"/>
                <w:highlight w:val="none"/>
                <w:lang w:eastAsia="zh-CN"/>
              </w:rPr>
              <w:t>竞争性比选</w:t>
            </w:r>
            <w:r>
              <w:rPr>
                <w:rFonts w:hint="eastAsia"/>
                <w:highlight w:val="none"/>
              </w:rPr>
              <w:t>投标信用管理暂行办法》规定的重点关注名单且记分达到12分；</w:t>
            </w:r>
          </w:p>
          <w:p w14:paraId="042F9F37">
            <w:pPr>
              <w:snapToGrid w:val="0"/>
              <w:spacing w:line="400" w:lineRule="exact"/>
              <w:ind w:firstLine="420" w:firstLineChars="200"/>
              <w:rPr>
                <w:rFonts w:hint="eastAsia"/>
                <w:highlight w:val="none"/>
              </w:rPr>
            </w:pPr>
            <w:r>
              <w:rPr>
                <w:rFonts w:hint="eastAsia"/>
                <w:highlight w:val="none"/>
              </w:rPr>
              <w:t>（3）被列入《重庆市工程建设领域</w:t>
            </w:r>
            <w:r>
              <w:rPr>
                <w:rFonts w:hint="eastAsia"/>
                <w:highlight w:val="none"/>
                <w:lang w:eastAsia="zh-CN"/>
              </w:rPr>
              <w:t>竞争性比选</w:t>
            </w:r>
            <w:r>
              <w:rPr>
                <w:rFonts w:hint="eastAsia"/>
                <w:highlight w:val="none"/>
              </w:rPr>
              <w:t>投标信用管理暂行办法》规定的黑名单；</w:t>
            </w:r>
          </w:p>
          <w:p w14:paraId="2C427817">
            <w:pPr>
              <w:snapToGrid w:val="0"/>
              <w:spacing w:line="400" w:lineRule="exact"/>
              <w:ind w:firstLine="420" w:firstLineChars="200"/>
              <w:rPr>
                <w:rFonts w:hint="eastAsia"/>
                <w:highlight w:val="none"/>
              </w:rPr>
            </w:pPr>
            <w:r>
              <w:rPr>
                <w:rFonts w:hint="eastAsia"/>
                <w:highlight w:val="none"/>
              </w:rPr>
              <w:t>（4）被国家、重庆市（含市或任意区县）有关行政部门处以暂停投标资格行政处罚，且在处罚期限内；</w:t>
            </w:r>
          </w:p>
          <w:p w14:paraId="1AA9F87E">
            <w:pPr>
              <w:snapToGrid w:val="0"/>
              <w:spacing w:line="400" w:lineRule="exact"/>
              <w:ind w:firstLine="420" w:firstLineChars="200"/>
              <w:rPr>
                <w:rFonts w:hint="eastAsia"/>
                <w:highlight w:val="none"/>
              </w:rPr>
            </w:pPr>
            <w:r>
              <w:rPr>
                <w:rFonts w:hint="eastAsia"/>
                <w:highlight w:val="none"/>
              </w:rPr>
              <w:t>（5）被重庆市住房和城乡建设主管部门暂停在渝承揽新业务。</w:t>
            </w:r>
          </w:p>
          <w:p w14:paraId="1E03FED0">
            <w:pPr>
              <w:snapToGrid w:val="0"/>
              <w:spacing w:line="400" w:lineRule="exact"/>
              <w:ind w:firstLine="420" w:firstLineChars="200"/>
              <w:rPr>
                <w:highlight w:val="none"/>
              </w:rPr>
            </w:pPr>
            <w:r>
              <w:rPr>
                <w:rFonts w:hint="eastAsia"/>
                <w:highlight w:val="none"/>
                <w:lang w:val="en-US" w:eastAsia="zh-CN"/>
              </w:rPr>
              <w:t>3</w:t>
            </w:r>
            <w:r>
              <w:rPr>
                <w:highlight w:val="none"/>
              </w:rPr>
              <w:t>.项目经理资格要求</w:t>
            </w:r>
          </w:p>
          <w:p w14:paraId="6FFBD234">
            <w:pPr>
              <w:snapToGrid w:val="0"/>
              <w:spacing w:line="400" w:lineRule="exact"/>
              <w:ind w:firstLine="420" w:firstLineChars="200"/>
              <w:rPr>
                <w:rFonts w:hint="eastAsia"/>
                <w:highlight w:val="none"/>
              </w:rPr>
            </w:pPr>
            <w:r>
              <w:rPr>
                <w:highlight w:val="none"/>
              </w:rPr>
              <w:t>（</w:t>
            </w:r>
            <w:r>
              <w:rPr>
                <w:rFonts w:hint="eastAsia"/>
                <w:highlight w:val="none"/>
              </w:rPr>
              <w:t>1</w:t>
            </w:r>
            <w:r>
              <w:rPr>
                <w:highlight w:val="none"/>
              </w:rPr>
              <w:t>）</w:t>
            </w:r>
            <w:r>
              <w:rPr>
                <w:rFonts w:hint="eastAsia"/>
                <w:highlight w:val="none"/>
              </w:rPr>
              <w:t>投标人拟派的</w:t>
            </w:r>
            <w:r>
              <w:rPr>
                <w:highlight w:val="none"/>
              </w:rPr>
              <w:t>项目经理必须已在</w:t>
            </w:r>
            <w:r>
              <w:rPr>
                <w:rFonts w:hint="eastAsia"/>
                <w:highlight w:val="none"/>
              </w:rPr>
              <w:t>投标人本</w:t>
            </w:r>
            <w:r>
              <w:rPr>
                <w:highlight w:val="none"/>
              </w:rPr>
              <w:t>单位注册并应具有</w:t>
            </w:r>
            <w:r>
              <w:rPr>
                <w:rFonts w:hint="eastAsia"/>
                <w:b/>
                <w:bCs/>
                <w:highlight w:val="none"/>
                <w:u w:val="single"/>
                <w:lang w:val="en-US" w:eastAsia="zh-CN"/>
              </w:rPr>
              <w:t>建筑工程</w:t>
            </w:r>
            <w:r>
              <w:rPr>
                <w:rFonts w:hint="eastAsia" w:ascii="宋体" w:hAnsi="宋体"/>
                <w:b/>
                <w:bCs/>
                <w:snapToGrid w:val="0"/>
                <w:kern w:val="0"/>
                <w:szCs w:val="21"/>
                <w:u w:val="single"/>
              </w:rPr>
              <w:t>专业</w:t>
            </w:r>
            <w:r>
              <w:rPr>
                <w:rFonts w:hint="eastAsia" w:ascii="宋体" w:hAnsi="宋体"/>
                <w:b/>
                <w:bCs/>
                <w:snapToGrid w:val="0"/>
                <w:kern w:val="0"/>
                <w:szCs w:val="21"/>
                <w:u w:val="single"/>
                <w:lang w:val="en-US" w:eastAsia="zh-CN"/>
              </w:rPr>
              <w:t>二</w:t>
            </w:r>
            <w:r>
              <w:rPr>
                <w:rFonts w:hint="eastAsia" w:ascii="宋体" w:hAnsi="宋体"/>
                <w:b/>
                <w:bCs/>
                <w:snapToGrid w:val="0"/>
                <w:kern w:val="0"/>
                <w:szCs w:val="21"/>
                <w:u w:val="single"/>
              </w:rPr>
              <w:t>级及以上</w:t>
            </w:r>
            <w:r>
              <w:rPr>
                <w:highlight w:val="none"/>
              </w:rPr>
              <w:t>注册建造师执业资格</w:t>
            </w:r>
            <w:r>
              <w:rPr>
                <w:rFonts w:hint="eastAsia"/>
                <w:highlight w:val="none"/>
              </w:rPr>
              <w:t>，应为投标人本单位人员，并做出项目经理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w:t>
            </w:r>
            <w:r>
              <w:rPr>
                <w:rFonts w:hint="eastAsia"/>
                <w:highlight w:val="none"/>
                <w:lang w:eastAsia="zh-CN"/>
              </w:rPr>
              <w:t>比选人</w:t>
            </w:r>
            <w:r>
              <w:rPr>
                <w:rFonts w:hint="eastAsia"/>
                <w:highlight w:val="none"/>
              </w:rPr>
              <w:t>造成损失的，投标人依法承担违约赔偿责任）和未被禁标的承诺（自行承诺拟派项目经理未被我市住房和城乡建设主管部门暂停在渝承揽新业务，若被暂停且参加投标的投标将被否决，投标保证金不予退还，给</w:t>
            </w:r>
            <w:r>
              <w:rPr>
                <w:rFonts w:hint="eastAsia"/>
                <w:highlight w:val="none"/>
                <w:lang w:eastAsia="zh-CN"/>
              </w:rPr>
              <w:t>比选人</w:t>
            </w:r>
            <w:r>
              <w:rPr>
                <w:rFonts w:hint="eastAsia"/>
                <w:highlight w:val="none"/>
              </w:rPr>
              <w:t>造成损失的，投标人依法承担违约赔偿责任），否则由评标委员会作否决投标处理。</w:t>
            </w:r>
          </w:p>
          <w:p w14:paraId="34C07C1C">
            <w:pPr>
              <w:snapToGrid w:val="0"/>
              <w:spacing w:line="400" w:lineRule="exact"/>
              <w:ind w:firstLine="420" w:firstLineChars="200"/>
              <w:rPr>
                <w:rFonts w:hint="eastAsia"/>
                <w:highlight w:val="none"/>
              </w:rPr>
            </w:pPr>
            <w:r>
              <w:rPr>
                <w:rFonts w:hint="eastAsia"/>
                <w:highlight w:val="none"/>
              </w:rPr>
              <w:t>拟派项目经理中标后不得随意更换。</w:t>
            </w:r>
          </w:p>
          <w:p w14:paraId="6772D6F1">
            <w:pPr>
              <w:autoSpaceDE w:val="0"/>
              <w:autoSpaceDN w:val="0"/>
              <w:adjustRightInd w:val="0"/>
              <w:snapToGrid w:val="0"/>
              <w:spacing w:line="400" w:lineRule="exact"/>
              <w:ind w:firstLine="420" w:firstLineChars="200"/>
              <w:rPr>
                <w:rFonts w:hint="eastAsia"/>
                <w:highlight w:val="none"/>
              </w:rPr>
            </w:pPr>
            <w:r>
              <w:rPr>
                <w:rFonts w:hint="eastAsia"/>
                <w:highlight w:val="none"/>
              </w:rPr>
              <w:t>同时，投标人须在投标文件资格审查部分提供拟派项目经理建造师注册证、身份证、投标人本单位为其缴纳的养老保险证明材料复印件，拟派项目经理到岗履职和未被禁标的承诺原件。</w:t>
            </w:r>
          </w:p>
          <w:p w14:paraId="291BC4C4">
            <w:pPr>
              <w:autoSpaceDE w:val="0"/>
              <w:autoSpaceDN w:val="0"/>
              <w:adjustRightInd w:val="0"/>
              <w:snapToGrid w:val="0"/>
              <w:spacing w:line="400" w:lineRule="exact"/>
              <w:ind w:firstLine="420" w:firstLineChars="200"/>
              <w:rPr>
                <w:highlight w:val="none"/>
              </w:rPr>
            </w:pPr>
            <w:r>
              <w:rPr>
                <w:rFonts w:hint="eastAsia"/>
                <w:highlight w:val="none"/>
                <w:lang w:val="en-US" w:eastAsia="zh-CN"/>
              </w:rPr>
              <w:t>4</w:t>
            </w:r>
            <w:r>
              <w:rPr>
                <w:highlight w:val="none"/>
              </w:rPr>
              <w:t>.其他要求</w:t>
            </w:r>
          </w:p>
          <w:p w14:paraId="5675AF13">
            <w:pPr>
              <w:snapToGrid w:val="0"/>
              <w:spacing w:line="400" w:lineRule="exact"/>
              <w:ind w:firstLine="420" w:firstLineChars="200"/>
              <w:rPr>
                <w:highlight w:val="none"/>
              </w:rPr>
            </w:pPr>
            <w:r>
              <w:rPr>
                <w:highlight w:val="none"/>
              </w:rPr>
              <w:t>（1）项目技术负责人：</w:t>
            </w:r>
          </w:p>
          <w:p w14:paraId="4D542974">
            <w:pPr>
              <w:snapToGrid w:val="0"/>
              <w:spacing w:line="400" w:lineRule="exact"/>
              <w:ind w:firstLine="420" w:firstLineChars="200"/>
              <w:rPr>
                <w:highlight w:val="none"/>
              </w:rPr>
            </w:pPr>
            <w:r>
              <w:rPr>
                <w:highlight w:val="none"/>
              </w:rPr>
              <w:t>应具有</w:t>
            </w:r>
            <w:r>
              <w:rPr>
                <w:rFonts w:hint="eastAsia" w:ascii="宋体" w:hAnsi="宋体"/>
                <w:b/>
                <w:snapToGrid w:val="0"/>
                <w:kern w:val="0"/>
                <w:szCs w:val="21"/>
                <w:u w:val="single"/>
              </w:rPr>
              <w:t>工程类中级</w:t>
            </w:r>
            <w:r>
              <w:rPr>
                <w:rFonts w:hint="eastAsia"/>
                <w:b/>
                <w:bCs/>
                <w:highlight w:val="none"/>
                <w:u w:val="single"/>
                <w:lang w:val="en-US" w:eastAsia="zh-CN"/>
              </w:rPr>
              <w:t xml:space="preserve"> </w:t>
            </w:r>
            <w:r>
              <w:rPr>
                <w:highlight w:val="none"/>
              </w:rPr>
              <w:t>及以上职称；</w:t>
            </w:r>
          </w:p>
          <w:p w14:paraId="3CA49403">
            <w:pPr>
              <w:autoSpaceDE w:val="0"/>
              <w:autoSpaceDN w:val="0"/>
              <w:adjustRightInd w:val="0"/>
              <w:snapToGrid w:val="0"/>
              <w:spacing w:line="400" w:lineRule="exact"/>
              <w:ind w:firstLine="420" w:firstLineChars="200"/>
              <w:rPr>
                <w:highlight w:val="none"/>
              </w:rPr>
            </w:pPr>
            <w:r>
              <w:rPr>
                <w:rFonts w:hint="eastAsia"/>
                <w:highlight w:val="none"/>
              </w:rPr>
              <w:t>投标人须在投标文件资格审查部分附拟派技术负责人身份证、职称证及投标人本单位为其缴纳的养老保险证明材料复印件。</w:t>
            </w:r>
          </w:p>
          <w:p w14:paraId="58B45970">
            <w:pPr>
              <w:autoSpaceDE w:val="0"/>
              <w:autoSpaceDN w:val="0"/>
              <w:adjustRightInd w:val="0"/>
              <w:snapToGrid w:val="0"/>
              <w:spacing w:line="400" w:lineRule="exact"/>
              <w:ind w:firstLine="420" w:firstLineChars="200"/>
              <w:rPr>
                <w:rFonts w:hint="eastAsia"/>
                <w:highlight w:val="none"/>
              </w:rPr>
            </w:pPr>
            <w:r>
              <w:rPr>
                <w:highlight w:val="none"/>
              </w:rPr>
              <w:t>（2）主要管理人员：</w:t>
            </w:r>
          </w:p>
          <w:p w14:paraId="778C5630">
            <w:pPr>
              <w:autoSpaceDE w:val="0"/>
              <w:autoSpaceDN w:val="0"/>
              <w:adjustRightInd w:val="0"/>
              <w:spacing w:line="400" w:lineRule="exact"/>
              <w:ind w:firstLine="420" w:firstLineChars="200"/>
              <w:rPr>
                <w:rFonts w:hint="eastAsia"/>
                <w:highlight w:val="none"/>
              </w:rPr>
            </w:pPr>
            <w:r>
              <w:rPr>
                <w:rFonts w:hint="eastAsia"/>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w:t>
            </w:r>
            <w:r>
              <w:rPr>
                <w:rFonts w:hint="eastAsia"/>
                <w:highlight w:val="none"/>
                <w:lang w:eastAsia="zh-CN"/>
              </w:rPr>
              <w:t>比选人</w:t>
            </w:r>
            <w:r>
              <w:rPr>
                <w:rFonts w:hint="eastAsia"/>
                <w:highlight w:val="none"/>
              </w:rPr>
              <w:t>造成损失的，投标人依法承担违约赔偿责任。投标人须在投标文件资格审查部分附承诺函（格式自拟）。</w:t>
            </w:r>
          </w:p>
          <w:p w14:paraId="616A522C">
            <w:pPr>
              <w:autoSpaceDE w:val="0"/>
              <w:autoSpaceDN w:val="0"/>
              <w:adjustRightInd w:val="0"/>
              <w:snapToGrid w:val="0"/>
              <w:spacing w:line="400" w:lineRule="exact"/>
              <w:ind w:firstLine="420" w:firstLineChars="200"/>
              <w:rPr>
                <w:highlight w:val="none"/>
              </w:rPr>
            </w:pPr>
            <w:r>
              <w:rPr>
                <w:highlight w:val="none"/>
              </w:rPr>
              <w:t>（</w:t>
            </w:r>
            <w:r>
              <w:rPr>
                <w:rFonts w:hint="eastAsia"/>
                <w:highlight w:val="none"/>
              </w:rPr>
              <w:t>3</w:t>
            </w:r>
            <w:r>
              <w:rPr>
                <w:highlight w:val="none"/>
              </w:rPr>
              <w:t>）委托代理人</w:t>
            </w:r>
            <w:r>
              <w:rPr>
                <w:rFonts w:hint="eastAsia"/>
                <w:highlight w:val="none"/>
              </w:rPr>
              <w:t>：</w:t>
            </w:r>
          </w:p>
          <w:p w14:paraId="58C691F9">
            <w:pPr>
              <w:autoSpaceDE w:val="0"/>
              <w:autoSpaceDN w:val="0"/>
              <w:adjustRightInd w:val="0"/>
              <w:snapToGrid w:val="0"/>
              <w:spacing w:line="400" w:lineRule="exact"/>
              <w:ind w:firstLine="420" w:firstLineChars="200"/>
              <w:rPr>
                <w:highlight w:val="none"/>
              </w:rPr>
            </w:pPr>
            <w:r>
              <w:rPr>
                <w:highlight w:val="none"/>
              </w:rPr>
              <w:t>本</w:t>
            </w:r>
            <w:r>
              <w:rPr>
                <w:rFonts w:hint="eastAsia"/>
                <w:highlight w:val="none"/>
              </w:rPr>
              <w:t>项目</w:t>
            </w:r>
            <w:r>
              <w:rPr>
                <w:highlight w:val="none"/>
              </w:rPr>
              <w:t>委托代理人必须为投标人本单位职工。</w:t>
            </w:r>
            <w:r>
              <w:rPr>
                <w:rFonts w:hint="eastAsia"/>
                <w:highlight w:val="none"/>
              </w:rPr>
              <w:t>投标人</w:t>
            </w:r>
            <w:r>
              <w:rPr>
                <w:highlight w:val="none"/>
              </w:rPr>
              <w:t>须</w:t>
            </w:r>
            <w:r>
              <w:rPr>
                <w:rFonts w:hint="eastAsia"/>
                <w:highlight w:val="none"/>
              </w:rPr>
              <w:t>在投标文件资格审查部分</w:t>
            </w:r>
            <w:r>
              <w:rPr>
                <w:highlight w:val="none"/>
              </w:rPr>
              <w:t>提供</w:t>
            </w:r>
            <w:r>
              <w:rPr>
                <w:rFonts w:hint="eastAsia"/>
                <w:highlight w:val="none"/>
              </w:rPr>
              <w:t>投标人本单位为该</w:t>
            </w:r>
            <w:r>
              <w:rPr>
                <w:highlight w:val="none"/>
              </w:rPr>
              <w:t>委托代理人</w:t>
            </w:r>
            <w:r>
              <w:rPr>
                <w:rFonts w:hint="eastAsia"/>
                <w:highlight w:val="none"/>
              </w:rPr>
              <w:t>缴纳的养老保险证明复印件。否则，将由评标委员会作否决投标处理。</w:t>
            </w:r>
          </w:p>
          <w:p w14:paraId="41324C31">
            <w:pPr>
              <w:autoSpaceDE w:val="0"/>
              <w:autoSpaceDN w:val="0"/>
              <w:adjustRightInd w:val="0"/>
              <w:snapToGrid w:val="0"/>
              <w:spacing w:line="400" w:lineRule="exact"/>
              <w:ind w:firstLine="415" w:firstLineChars="198"/>
              <w:rPr>
                <w:highlight w:val="none"/>
              </w:rPr>
            </w:pPr>
            <w:r>
              <w:rPr>
                <w:rFonts w:hint="eastAsia"/>
                <w:highlight w:val="none"/>
              </w:rPr>
              <w:t>特别说明：</w:t>
            </w:r>
          </w:p>
          <w:p w14:paraId="2B936565">
            <w:pPr>
              <w:autoSpaceDE w:val="0"/>
              <w:autoSpaceDN w:val="0"/>
              <w:adjustRightInd w:val="0"/>
              <w:snapToGrid w:val="0"/>
              <w:spacing w:line="400" w:lineRule="exact"/>
              <w:ind w:firstLine="415" w:firstLineChars="198"/>
              <w:rPr>
                <w:highlight w:val="none"/>
              </w:rPr>
            </w:pPr>
            <w:r>
              <w:rPr>
                <w:rFonts w:hint="eastAsia"/>
                <w:highlight w:val="none"/>
              </w:rPr>
              <w:t>（</w:t>
            </w:r>
            <w:r>
              <w:rPr>
                <w:highlight w:val="none"/>
              </w:rPr>
              <w:t>1）上述1～</w:t>
            </w:r>
            <w:r>
              <w:rPr>
                <w:rFonts w:hint="eastAsia"/>
                <w:highlight w:val="none"/>
                <w:lang w:val="en-US" w:eastAsia="zh-CN"/>
              </w:rPr>
              <w:t>4</w:t>
            </w:r>
            <w:r>
              <w:rPr>
                <w:rFonts w:hint="eastAsia"/>
                <w:highlight w:val="none"/>
              </w:rPr>
              <w:t>条所需提交的相关证明材料复印件均应加盖投标单位法人章并装入投标文件资格审查部分中。</w:t>
            </w:r>
          </w:p>
          <w:p w14:paraId="748339F7">
            <w:pPr>
              <w:autoSpaceDE w:val="0"/>
              <w:autoSpaceDN w:val="0"/>
              <w:adjustRightInd w:val="0"/>
              <w:snapToGrid w:val="0"/>
              <w:spacing w:line="400" w:lineRule="exact"/>
              <w:ind w:firstLine="415" w:firstLineChars="198"/>
              <w:rPr>
                <w:highlight w:val="none"/>
              </w:rPr>
            </w:pPr>
            <w:r>
              <w:rPr>
                <w:rFonts w:hint="eastAsia"/>
                <w:highlight w:val="none"/>
              </w:rPr>
              <w:t>以上1～</w:t>
            </w:r>
            <w:r>
              <w:rPr>
                <w:rFonts w:hint="eastAsia"/>
                <w:highlight w:val="none"/>
                <w:lang w:val="en-US" w:eastAsia="zh-CN"/>
              </w:rPr>
              <w:t>4</w:t>
            </w:r>
            <w:r>
              <w:rPr>
                <w:rFonts w:hint="eastAsia"/>
                <w:highlight w:val="none"/>
              </w:rPr>
              <w:t>条，有一条不满足，则投标文件由评标委员会作否决投标处理。</w:t>
            </w:r>
          </w:p>
          <w:p w14:paraId="6C643B32">
            <w:pPr>
              <w:autoSpaceDE w:val="0"/>
              <w:autoSpaceDN w:val="0"/>
              <w:adjustRightInd w:val="0"/>
              <w:snapToGrid w:val="0"/>
              <w:spacing w:line="400" w:lineRule="exact"/>
              <w:ind w:firstLine="415" w:firstLineChars="198"/>
              <w:rPr>
                <w:highlight w:val="none"/>
              </w:rPr>
            </w:pPr>
            <w:r>
              <w:rPr>
                <w:rFonts w:hint="eastAsia"/>
                <w:highlight w:val="none"/>
              </w:rPr>
              <w:t>（2）</w:t>
            </w:r>
            <w:r>
              <w:rPr>
                <w:rFonts w:hint="eastAsia"/>
                <w:highlight w:val="none"/>
                <w:lang w:eastAsia="zh-CN"/>
              </w:rPr>
              <w:t>比选人</w:t>
            </w:r>
            <w:r>
              <w:rPr>
                <w:highlight w:val="none"/>
              </w:rPr>
              <w:t>在投标有效期内均有权对投标人提供的以上资料（</w:t>
            </w:r>
            <w:r>
              <w:rPr>
                <w:rFonts w:hint="eastAsia"/>
                <w:highlight w:val="none"/>
              </w:rPr>
              <w:t>证明和证件的原件</w:t>
            </w:r>
            <w:r>
              <w:rPr>
                <w:highlight w:val="none"/>
              </w:rPr>
              <w:t>或复印件）进行核实，</w:t>
            </w:r>
            <w:r>
              <w:rPr>
                <w:rFonts w:hint="eastAsia"/>
                <w:highlight w:val="none"/>
              </w:rPr>
              <w:t>若发现资料存在虚假不实，按照相关法律法规处理，其投标保证金不予退还，投标人承担因此造成的相关责任并赔偿相应损失。</w:t>
            </w:r>
          </w:p>
          <w:p w14:paraId="5F1178F0">
            <w:pPr>
              <w:spacing w:line="400" w:lineRule="exact"/>
              <w:ind w:firstLine="420" w:firstLineChars="200"/>
              <w:rPr>
                <w:highlight w:val="none"/>
              </w:rPr>
            </w:pPr>
            <w:r>
              <w:rPr>
                <w:rFonts w:hint="eastAsia"/>
                <w:highlight w:val="none"/>
                <w:lang w:val="en-US" w:eastAsia="zh-CN"/>
              </w:rPr>
              <w:t xml:space="preserve"> </w:t>
            </w:r>
            <w:r>
              <w:rPr>
                <w:rFonts w:hint="eastAsia"/>
                <w:highlight w:val="none"/>
              </w:rPr>
              <w:t>（3）</w:t>
            </w:r>
            <w:r>
              <w:rPr>
                <w:highlight w:val="none"/>
              </w:rPr>
              <w:t>本</w:t>
            </w:r>
            <w:r>
              <w:rPr>
                <w:rFonts w:hint="eastAsia"/>
                <w:highlight w:val="none"/>
                <w:lang w:eastAsia="zh-CN"/>
              </w:rPr>
              <w:t>比选文件</w:t>
            </w:r>
            <w:r>
              <w:rPr>
                <w:highlight w:val="none"/>
              </w:rPr>
              <w:t>中所要求的人员</w:t>
            </w:r>
            <w:r>
              <w:rPr>
                <w:rFonts w:hint="eastAsia"/>
                <w:highlight w:val="none"/>
              </w:rPr>
              <w:t>养老保险</w:t>
            </w:r>
            <w:r>
              <w:rPr>
                <w:highlight w:val="none"/>
              </w:rPr>
              <w:t>证明要求如下：</w:t>
            </w:r>
          </w:p>
          <w:p w14:paraId="11C57C85">
            <w:pPr>
              <w:spacing w:line="400" w:lineRule="exact"/>
              <w:ind w:firstLine="420" w:firstLineChars="200"/>
              <w:rPr>
                <w:highlight w:val="none"/>
              </w:rPr>
            </w:pPr>
            <w:r>
              <w:rPr>
                <w:highlight w:val="none"/>
              </w:rPr>
              <w:t>①社会单位提供</w:t>
            </w:r>
            <w:r>
              <w:rPr>
                <w:rFonts w:hint="eastAsia"/>
                <w:highlight w:val="none"/>
              </w:rPr>
              <w:t>养老保险</w:t>
            </w:r>
            <w:r>
              <w:rPr>
                <w:highlight w:val="none"/>
              </w:rPr>
              <w:t>证明，事业单位提供</w:t>
            </w:r>
            <w:r>
              <w:rPr>
                <w:rFonts w:hint="eastAsia"/>
                <w:highlight w:val="none"/>
              </w:rPr>
              <w:t>养老保险</w:t>
            </w:r>
            <w:r>
              <w:rPr>
                <w:highlight w:val="none"/>
              </w:rPr>
              <w:t>证明或行政主管部门在编证明。</w:t>
            </w:r>
          </w:p>
          <w:p w14:paraId="49EA0708">
            <w:pPr>
              <w:spacing w:line="400" w:lineRule="exact"/>
              <w:ind w:firstLine="420" w:firstLineChars="200"/>
              <w:rPr>
                <w:rFonts w:hint="eastAsia"/>
                <w:highlight w:val="none"/>
                <w:lang w:val="en-US" w:eastAsia="zh-CN"/>
              </w:rPr>
            </w:pPr>
            <w:r>
              <w:rPr>
                <w:highlight w:val="none"/>
              </w:rPr>
              <w:t>②投标文件中对</w:t>
            </w:r>
            <w:r>
              <w:rPr>
                <w:rFonts w:hint="eastAsia"/>
                <w:highlight w:val="none"/>
              </w:rPr>
              <w:t>养老保险</w:t>
            </w:r>
            <w:r>
              <w:rPr>
                <w:highlight w:val="none"/>
              </w:rPr>
              <w:t>的要求为</w:t>
            </w:r>
            <w:r>
              <w:rPr>
                <w:rFonts w:hint="eastAsia"/>
                <w:highlight w:val="none"/>
              </w:rPr>
              <w:t>：项目经理、</w:t>
            </w:r>
            <w:r>
              <w:rPr>
                <w:highlight w:val="none"/>
              </w:rPr>
              <w:t>项目技术负责人和委托代理人的</w:t>
            </w:r>
            <w:r>
              <w:rPr>
                <w:rFonts w:hint="eastAsia"/>
                <w:highlight w:val="none"/>
              </w:rPr>
              <w:t>养老保险</w:t>
            </w:r>
            <w:r>
              <w:rPr>
                <w:highlight w:val="none"/>
              </w:rPr>
              <w:t>证明期限为</w:t>
            </w:r>
            <w:r>
              <w:rPr>
                <w:rFonts w:hint="eastAsia"/>
                <w:highlight w:val="none"/>
                <w:lang w:eastAsia="zh-CN"/>
              </w:rPr>
              <w:t xml:space="preserve"> 20</w:t>
            </w:r>
            <w:r>
              <w:rPr>
                <w:rFonts w:hint="eastAsia"/>
                <w:highlight w:val="none"/>
                <w:lang w:val="en-US" w:eastAsia="zh-CN"/>
              </w:rPr>
              <w:t>25</w:t>
            </w:r>
            <w:r>
              <w:rPr>
                <w:rFonts w:hint="eastAsia"/>
                <w:highlight w:val="none"/>
                <w:lang w:eastAsia="zh-CN"/>
              </w:rPr>
              <w:t xml:space="preserve"> 年</w:t>
            </w:r>
            <w:r>
              <w:rPr>
                <w:rFonts w:hint="eastAsia"/>
                <w:highlight w:val="none"/>
                <w:lang w:val="en-US" w:eastAsia="zh-CN"/>
              </w:rPr>
              <w:t>2</w:t>
            </w:r>
            <w:r>
              <w:rPr>
                <w:rFonts w:hint="eastAsia"/>
                <w:highlight w:val="none"/>
                <w:lang w:eastAsia="zh-CN"/>
              </w:rPr>
              <w:t>月至202</w:t>
            </w:r>
            <w:r>
              <w:rPr>
                <w:rFonts w:hint="eastAsia"/>
                <w:highlight w:val="none"/>
                <w:lang w:val="en-US" w:eastAsia="zh-CN"/>
              </w:rPr>
              <w:t>5</w:t>
            </w:r>
            <w:r>
              <w:rPr>
                <w:rFonts w:hint="eastAsia"/>
                <w:highlight w:val="none"/>
                <w:lang w:eastAsia="zh-CN"/>
              </w:rPr>
              <w:t xml:space="preserve"> 年</w:t>
            </w:r>
            <w:r>
              <w:rPr>
                <w:rFonts w:hint="eastAsia"/>
                <w:highlight w:val="none"/>
                <w:lang w:val="en-US" w:eastAsia="zh-CN"/>
              </w:rPr>
              <w:t>7</w:t>
            </w:r>
            <w:r>
              <w:rPr>
                <w:rFonts w:hint="eastAsia"/>
                <w:highlight w:val="none"/>
                <w:lang w:eastAsia="zh-CN"/>
              </w:rPr>
              <w:t>月</w:t>
            </w:r>
            <w:r>
              <w:rPr>
                <w:highlight w:val="none"/>
              </w:rPr>
              <w:t>的连续</w:t>
            </w:r>
            <w:r>
              <w:rPr>
                <w:rFonts w:hint="eastAsia"/>
                <w:highlight w:val="none"/>
              </w:rPr>
              <w:t>养老保险。</w:t>
            </w:r>
          </w:p>
          <w:p w14:paraId="52205200">
            <w:pPr>
              <w:snapToGrid w:val="0"/>
              <w:spacing w:line="360" w:lineRule="auto"/>
              <w:rPr>
                <w:rFonts w:ascii="宋体" w:hAnsi="宋体" w:cs="宋体"/>
                <w:color w:val="auto"/>
                <w:szCs w:val="21"/>
                <w:highlight w:val="none"/>
                <w:shd w:val="clear" w:color="auto" w:fill="FFFFFF"/>
              </w:rPr>
            </w:pPr>
            <w:r>
              <w:rPr>
                <w:rFonts w:hint="eastAsia"/>
                <w:highlight w:val="none"/>
              </w:rPr>
              <w:t>养老保险证明原件必须加盖社保部门公章，提供养老保险参保证明（个人），含身份证号或社保号和参保基本情况、参保缴费明细（养老保险）</w:t>
            </w:r>
            <w:r>
              <w:rPr>
                <w:highlight w:val="none"/>
              </w:rPr>
              <w:t>，否则</w:t>
            </w:r>
            <w:r>
              <w:rPr>
                <w:rFonts w:hint="eastAsia"/>
                <w:highlight w:val="none"/>
              </w:rPr>
              <w:t>由评标委员会作否决投标</w:t>
            </w:r>
            <w:r>
              <w:rPr>
                <w:highlight w:val="none"/>
              </w:rPr>
              <w:t>处理。为确保对所有投标人的公开、公平、公正，投标人如果提供网上打印的</w:t>
            </w:r>
            <w:r>
              <w:rPr>
                <w:rFonts w:hint="eastAsia"/>
                <w:highlight w:val="none"/>
              </w:rPr>
              <w:t>养老保险</w:t>
            </w:r>
            <w:r>
              <w:rPr>
                <w:highlight w:val="none"/>
              </w:rPr>
              <w:t>证明材料含有电子章且提供了该地区政府或人社局发布的《关于推行参保人员社保证明电子化的通知》相关材料佐证（可不要求为原件，但必须网上能查询文件属实），可视为原件，不需加盖社保</w:t>
            </w:r>
            <w:r>
              <w:rPr>
                <w:rFonts w:hint="eastAsia"/>
                <w:highlight w:val="none"/>
              </w:rPr>
              <w:t>部门公章</w:t>
            </w:r>
            <w:r>
              <w:rPr>
                <w:highlight w:val="none"/>
              </w:rPr>
              <w:t>，投标有效，否则</w:t>
            </w:r>
            <w:r>
              <w:rPr>
                <w:rFonts w:hint="eastAsia"/>
                <w:highlight w:val="none"/>
              </w:rPr>
              <w:t>由评标委员会作否决投标</w:t>
            </w:r>
            <w:r>
              <w:rPr>
                <w:highlight w:val="none"/>
              </w:rPr>
              <w:t>处理</w:t>
            </w:r>
            <w:r>
              <w:rPr>
                <w:rFonts w:hint="eastAsia" w:ascii="宋体" w:hAnsi="宋体" w:cs="宋体"/>
                <w:color w:val="auto"/>
                <w:szCs w:val="21"/>
                <w:highlight w:val="none"/>
                <w:shd w:val="clear" w:color="auto" w:fill="FFFFFF"/>
              </w:rPr>
              <w:t>。</w:t>
            </w:r>
          </w:p>
        </w:tc>
      </w:tr>
      <w:tr w14:paraId="3F3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5" w:type="dxa"/>
            <w:vAlign w:val="center"/>
          </w:tcPr>
          <w:p w14:paraId="496CD35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500" w:type="dxa"/>
            <w:vAlign w:val="center"/>
          </w:tcPr>
          <w:p w14:paraId="29823D1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7189" w:type="dxa"/>
            <w:vAlign w:val="center"/>
          </w:tcPr>
          <w:p w14:paraId="4C6EDBB6">
            <w:pPr>
              <w:snapToGrid w:val="0"/>
              <w:spacing w:line="360" w:lineRule="auto"/>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不接受</w:t>
            </w:r>
          </w:p>
        </w:tc>
      </w:tr>
      <w:tr w14:paraId="46A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5" w:type="dxa"/>
            <w:vAlign w:val="center"/>
          </w:tcPr>
          <w:p w14:paraId="15E2697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500" w:type="dxa"/>
            <w:vAlign w:val="center"/>
          </w:tcPr>
          <w:p w14:paraId="4F0CD7D4">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89" w:type="dxa"/>
            <w:vAlign w:val="center"/>
          </w:tcPr>
          <w:p w14:paraId="13F1D7BC">
            <w:pPr>
              <w:snapToGrid w:val="0"/>
              <w:spacing w:line="360" w:lineRule="auto"/>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不组织，由投标人自行踏勘。</w:t>
            </w:r>
          </w:p>
        </w:tc>
      </w:tr>
      <w:tr w14:paraId="5354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5" w:type="dxa"/>
            <w:vAlign w:val="center"/>
          </w:tcPr>
          <w:p w14:paraId="4E6DE088">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1500" w:type="dxa"/>
            <w:vAlign w:val="center"/>
          </w:tcPr>
          <w:p w14:paraId="53818374">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投标预备会</w:t>
            </w:r>
          </w:p>
        </w:tc>
        <w:tc>
          <w:tcPr>
            <w:tcW w:w="7189" w:type="dxa"/>
            <w:vAlign w:val="center"/>
          </w:tcPr>
          <w:p w14:paraId="67AEA4C7">
            <w:pPr>
              <w:snapToGrid w:val="0"/>
              <w:spacing w:line="360" w:lineRule="auto"/>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不召开</w:t>
            </w:r>
          </w:p>
        </w:tc>
      </w:tr>
      <w:tr w14:paraId="5355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35" w:type="dxa"/>
            <w:vAlign w:val="center"/>
          </w:tcPr>
          <w:p w14:paraId="71503AE8">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1.10.2</w:t>
            </w:r>
          </w:p>
        </w:tc>
        <w:tc>
          <w:tcPr>
            <w:tcW w:w="1500" w:type="dxa"/>
            <w:vAlign w:val="center"/>
          </w:tcPr>
          <w:p w14:paraId="50318C96">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投标人提出问题的截止时间</w:t>
            </w:r>
          </w:p>
        </w:tc>
        <w:tc>
          <w:tcPr>
            <w:tcW w:w="7189" w:type="dxa"/>
            <w:vAlign w:val="center"/>
          </w:tcPr>
          <w:p w14:paraId="62B15E7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 xml:space="preserve"> 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14 </w:t>
            </w:r>
            <w:r>
              <w:rPr>
                <w:rFonts w:hint="eastAsia" w:ascii="宋体" w:hAnsi="宋体" w:cs="宋体"/>
                <w:color w:val="auto"/>
                <w:szCs w:val="21"/>
                <w:highlight w:val="none"/>
                <w:u w:val="single"/>
              </w:rPr>
              <w:t>日</w:t>
            </w:r>
            <w:r>
              <w:rPr>
                <w:rFonts w:hint="eastAsia" w:asciiTheme="minorEastAsia" w:hAnsiTheme="minorEastAsia" w:cstheme="minorEastAsia"/>
                <w:b w:val="0"/>
                <w:bCs w:val="0"/>
                <w:color w:val="auto"/>
                <w:szCs w:val="21"/>
                <w:highlight w:val="none"/>
                <w:u w:val="single"/>
                <w:lang w:val="en-US" w:eastAsia="zh-CN"/>
              </w:rPr>
              <w:t xml:space="preserve"> 18 </w:t>
            </w:r>
            <w:r>
              <w:rPr>
                <w:rFonts w:hint="eastAsia" w:asciiTheme="minorEastAsia" w:hAnsiTheme="minorEastAsia" w:cstheme="minorEastAsia"/>
                <w:b w:val="0"/>
                <w:bCs w:val="0"/>
                <w:color w:val="auto"/>
                <w:szCs w:val="21"/>
                <w:highlight w:val="none"/>
                <w:u w:val="none"/>
              </w:rPr>
              <w:t>时</w:t>
            </w:r>
            <w:r>
              <w:rPr>
                <w:rFonts w:hint="eastAsia" w:asciiTheme="minorEastAsia" w:hAnsiTheme="minorEastAsia" w:cstheme="minorEastAsia"/>
                <w:b w:val="0"/>
                <w:bCs w:val="0"/>
                <w:color w:val="auto"/>
                <w:szCs w:val="21"/>
                <w:highlight w:val="none"/>
                <w:u w:val="single"/>
                <w:lang w:val="en-US" w:eastAsia="zh-CN"/>
              </w:rPr>
              <w:t xml:space="preserve"> 00 </w:t>
            </w:r>
            <w:r>
              <w:rPr>
                <w:rFonts w:hint="eastAsia" w:asciiTheme="minorEastAsia" w:hAnsiTheme="minorEastAsia" w:cstheme="minorEastAsia"/>
                <w:b w:val="0"/>
                <w:bCs w:val="0"/>
                <w:color w:val="auto"/>
                <w:szCs w:val="21"/>
                <w:highlight w:val="none"/>
                <w:u w:val="none"/>
              </w:rPr>
              <w:t>分</w:t>
            </w:r>
          </w:p>
        </w:tc>
      </w:tr>
      <w:tr w14:paraId="2DC0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DA5A894">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1.10.3</w:t>
            </w:r>
          </w:p>
        </w:tc>
        <w:tc>
          <w:tcPr>
            <w:tcW w:w="1500" w:type="dxa"/>
            <w:vAlign w:val="center"/>
          </w:tcPr>
          <w:p w14:paraId="40218D55">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比选人书面澄清的时间</w:t>
            </w:r>
          </w:p>
        </w:tc>
        <w:tc>
          <w:tcPr>
            <w:tcW w:w="7189" w:type="dxa"/>
            <w:vAlign w:val="center"/>
          </w:tcPr>
          <w:p w14:paraId="3D8DF0C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时00分前</w:t>
            </w:r>
          </w:p>
        </w:tc>
      </w:tr>
      <w:tr w14:paraId="61CA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F85F06C">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500" w:type="dxa"/>
            <w:vAlign w:val="center"/>
          </w:tcPr>
          <w:p w14:paraId="1E15CE48">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89" w:type="dxa"/>
            <w:vAlign w:val="center"/>
          </w:tcPr>
          <w:p w14:paraId="34B99929">
            <w:pPr>
              <w:snapToGrid w:val="0"/>
              <w:spacing w:line="400" w:lineRule="exact"/>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不允许</w:t>
            </w:r>
          </w:p>
        </w:tc>
      </w:tr>
      <w:tr w14:paraId="1B3A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35" w:type="dxa"/>
            <w:vAlign w:val="center"/>
          </w:tcPr>
          <w:p w14:paraId="1BEA42D8">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500" w:type="dxa"/>
            <w:vAlign w:val="center"/>
          </w:tcPr>
          <w:p w14:paraId="25C48D9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7189" w:type="dxa"/>
            <w:vAlign w:val="center"/>
          </w:tcPr>
          <w:p w14:paraId="65C950E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比选人发出的答疑及补遗书</w:t>
            </w:r>
          </w:p>
        </w:tc>
      </w:tr>
      <w:tr w14:paraId="19F3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35" w:type="dxa"/>
            <w:vAlign w:val="center"/>
          </w:tcPr>
          <w:p w14:paraId="6B066918">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500" w:type="dxa"/>
            <w:vAlign w:val="center"/>
          </w:tcPr>
          <w:p w14:paraId="437AD84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投标人要求澄清比选文件的截止时间</w:t>
            </w:r>
          </w:p>
        </w:tc>
        <w:tc>
          <w:tcPr>
            <w:tcW w:w="7189" w:type="dxa"/>
            <w:vAlign w:val="center"/>
          </w:tcPr>
          <w:p w14:paraId="64089A7B">
            <w:pPr>
              <w:snapToGrid w:val="0"/>
              <w:spacing w:line="400" w:lineRule="exact"/>
              <w:ind w:firstLine="342" w:firstLineChars="163"/>
              <w:rPr>
                <w:rFonts w:ascii="宋体" w:hAnsi="宋体"/>
                <w:snapToGrid w:val="0"/>
                <w:color w:val="auto"/>
                <w:kern w:val="0"/>
                <w:highlight w:val="none"/>
                <w:u w:val="single"/>
              </w:rPr>
            </w:pPr>
            <w:r>
              <w:rPr>
                <w:rFonts w:hint="eastAsia" w:ascii="宋体" w:hAnsi="宋体"/>
                <w:color w:val="auto"/>
                <w:kern w:val="0"/>
                <w:highlight w:val="none"/>
              </w:rPr>
              <w:t>投标人在查阅比选相关资料后，应仔细检查比选文件的所有内容，如有</w:t>
            </w:r>
            <w:r>
              <w:rPr>
                <w:rFonts w:hint="eastAsia" w:ascii="宋体" w:hAnsi="宋体" w:cs="宋体"/>
                <w:color w:val="auto"/>
                <w:szCs w:val="21"/>
                <w:highlight w:val="none"/>
              </w:rPr>
              <w:t>残缺或</w:t>
            </w:r>
            <w:r>
              <w:rPr>
                <w:rFonts w:hint="eastAsia" w:ascii="宋体" w:hAnsi="宋体"/>
                <w:color w:val="auto"/>
                <w:kern w:val="0"/>
                <w:highlight w:val="none"/>
              </w:rPr>
              <w:t>文字表述不清，图纸尺寸标注不明以及存在错、碰、漏、缺、概念模糊和有可能出现歧义或理解上的偏差的内容等应在</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Theme="minorEastAsia" w:hAnsiTheme="minorEastAsia" w:cstheme="minorEastAsia"/>
                <w:b w:val="0"/>
                <w:bCs w:val="0"/>
                <w:color w:val="auto"/>
                <w:szCs w:val="21"/>
                <w:highlight w:val="none"/>
                <w:u w:val="single"/>
                <w:lang w:val="en-US" w:eastAsia="zh-CN"/>
              </w:rPr>
              <w:t xml:space="preserve"> 18 </w:t>
            </w:r>
            <w:r>
              <w:rPr>
                <w:rFonts w:hint="eastAsia" w:asciiTheme="minorEastAsia" w:hAnsiTheme="minorEastAsia" w:cstheme="minorEastAsia"/>
                <w:b w:val="0"/>
                <w:bCs w:val="0"/>
                <w:color w:val="auto"/>
                <w:szCs w:val="21"/>
                <w:highlight w:val="none"/>
                <w:u w:val="single"/>
              </w:rPr>
              <w:t>时</w:t>
            </w:r>
            <w:r>
              <w:rPr>
                <w:rFonts w:hint="eastAsia" w:asciiTheme="minorEastAsia" w:hAnsiTheme="minorEastAsia" w:cstheme="minorEastAsia"/>
                <w:b w:val="0"/>
                <w:bCs w:val="0"/>
                <w:color w:val="auto"/>
                <w:szCs w:val="21"/>
                <w:highlight w:val="none"/>
                <w:u w:val="single"/>
                <w:lang w:val="en-US" w:eastAsia="zh-CN"/>
              </w:rPr>
              <w:t xml:space="preserve"> 00 </w:t>
            </w:r>
            <w:r>
              <w:rPr>
                <w:rFonts w:hint="eastAsia" w:asciiTheme="minorEastAsia" w:hAnsiTheme="minorEastAsia" w:cstheme="minorEastAsia"/>
                <w:b w:val="0"/>
                <w:bCs w:val="0"/>
                <w:color w:val="auto"/>
                <w:szCs w:val="21"/>
                <w:highlight w:val="none"/>
                <w:u w:val="none"/>
              </w:rPr>
              <w:t>分</w:t>
            </w:r>
            <w:r>
              <w:rPr>
                <w:rFonts w:hint="eastAsia" w:ascii="宋体" w:hAnsi="宋体"/>
                <w:color w:val="auto"/>
                <w:kern w:val="0"/>
                <w:highlight w:val="none"/>
              </w:rPr>
              <w:t>前以</w:t>
            </w:r>
            <w:r>
              <w:rPr>
                <w:rFonts w:hint="eastAsia" w:ascii="宋体" w:hAnsi="宋体"/>
                <w:color w:val="auto"/>
                <w:kern w:val="0"/>
                <w:highlight w:val="none"/>
                <w:lang w:val="en-US" w:eastAsia="zh-CN"/>
              </w:rPr>
              <w:t>匿名邮箱</w:t>
            </w:r>
            <w:r>
              <w:rPr>
                <w:rFonts w:hint="eastAsia" w:ascii="宋体" w:hAnsi="宋体"/>
                <w:color w:val="auto"/>
                <w:kern w:val="0"/>
                <w:highlight w:val="none"/>
              </w:rPr>
              <w:t>形式将问题提交给比选代理机构</w:t>
            </w:r>
            <w:r>
              <w:rPr>
                <w:rFonts w:hint="eastAsia" w:ascii="宋体" w:hAnsi="宋体"/>
                <w:b/>
                <w:color w:val="auto"/>
                <w:kern w:val="0"/>
                <w:highlight w:val="none"/>
              </w:rPr>
              <w:t>（</w:t>
            </w:r>
            <w:r>
              <w:rPr>
                <w:rFonts w:hint="eastAsia" w:asciiTheme="minorEastAsia" w:hAnsiTheme="minorEastAsia" w:cstheme="minorEastAsia"/>
                <w:b w:val="0"/>
                <w:bCs/>
                <w:color w:val="auto"/>
                <w:szCs w:val="21"/>
                <w:highlight w:val="none"/>
                <w:lang w:val="en-US" w:eastAsia="zh-CN"/>
              </w:rPr>
              <w:t>邮箱：457243193@QQ.com</w:t>
            </w:r>
            <w:r>
              <w:rPr>
                <w:rFonts w:hint="eastAsia" w:ascii="宋体" w:hAnsi="宋体"/>
                <w:b/>
                <w:color w:val="auto"/>
                <w:kern w:val="0"/>
                <w:highlight w:val="none"/>
              </w:rPr>
              <w:t>）</w:t>
            </w:r>
            <w:r>
              <w:rPr>
                <w:rFonts w:hint="eastAsia" w:ascii="宋体" w:hAnsi="宋体"/>
                <w:color w:val="auto"/>
                <w:kern w:val="0"/>
                <w:highlight w:val="none"/>
              </w:rPr>
              <w:t>。各投标人的质疑不得显示和隐含企业及个人名称，否则其质疑无效。</w:t>
            </w:r>
          </w:p>
        </w:tc>
      </w:tr>
      <w:tr w14:paraId="532A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35" w:type="dxa"/>
            <w:vAlign w:val="center"/>
          </w:tcPr>
          <w:p w14:paraId="37A92BDC">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500" w:type="dxa"/>
            <w:vAlign w:val="center"/>
          </w:tcPr>
          <w:p w14:paraId="142D7488">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投标截止时间</w:t>
            </w:r>
          </w:p>
        </w:tc>
        <w:tc>
          <w:tcPr>
            <w:tcW w:w="7189" w:type="dxa"/>
            <w:vAlign w:val="center"/>
          </w:tcPr>
          <w:p w14:paraId="6DB90B47">
            <w:pPr>
              <w:snapToGrid w:val="0"/>
              <w:spacing w:line="320" w:lineRule="exact"/>
              <w:rPr>
                <w:rFonts w:ascii="宋体" w:hAnsi="宋体" w:cs="宋体"/>
                <w:color w:val="auto"/>
                <w:kern w:val="0"/>
                <w:szCs w:val="21"/>
                <w:highlight w:val="none"/>
              </w:rPr>
            </w:pPr>
            <w:r>
              <w:rPr>
                <w:rFonts w:hint="eastAsia" w:ascii="宋体" w:hAnsi="宋体" w:cs="MingLiU"/>
                <w:color w:val="auto"/>
                <w:kern w:val="0"/>
                <w:szCs w:val="22"/>
                <w:highlight w:val="none"/>
                <w:lang w:val="en-US" w:eastAsia="zh-CN"/>
              </w:rPr>
              <w:t>2025</w:t>
            </w:r>
            <w:r>
              <w:rPr>
                <w:rFonts w:hint="eastAsia" w:ascii="宋体" w:hAnsi="宋体" w:cs="MingLiU"/>
                <w:color w:val="auto"/>
                <w:kern w:val="0"/>
                <w:szCs w:val="22"/>
                <w:highlight w:val="none"/>
              </w:rPr>
              <w:t>年</w:t>
            </w:r>
            <w:r>
              <w:rPr>
                <w:rFonts w:hint="eastAsia" w:ascii="宋体" w:hAnsi="宋体" w:cs="MingLiU"/>
                <w:color w:val="auto"/>
                <w:kern w:val="0"/>
                <w:szCs w:val="22"/>
                <w:highlight w:val="none"/>
                <w:lang w:val="en-US" w:eastAsia="zh-CN"/>
              </w:rPr>
              <w:t>8</w:t>
            </w:r>
            <w:r>
              <w:rPr>
                <w:rFonts w:hint="eastAsia" w:ascii="宋体" w:hAnsi="宋体" w:cs="MingLiU"/>
                <w:color w:val="auto"/>
                <w:kern w:val="0"/>
                <w:szCs w:val="22"/>
                <w:highlight w:val="none"/>
              </w:rPr>
              <w:t>月</w:t>
            </w:r>
            <w:r>
              <w:rPr>
                <w:rFonts w:hint="eastAsia" w:ascii="宋体" w:hAnsi="宋体" w:cs="MingLiU"/>
                <w:color w:val="auto"/>
                <w:kern w:val="0"/>
                <w:szCs w:val="22"/>
                <w:highlight w:val="none"/>
                <w:lang w:val="en-US" w:eastAsia="zh-CN"/>
              </w:rPr>
              <w:t>19</w:t>
            </w:r>
            <w:r>
              <w:rPr>
                <w:rFonts w:hint="eastAsia" w:ascii="宋体" w:hAnsi="宋体" w:cs="MingLiU"/>
                <w:color w:val="auto"/>
                <w:kern w:val="0"/>
                <w:szCs w:val="22"/>
                <w:highlight w:val="none"/>
              </w:rPr>
              <w:t>日</w:t>
            </w:r>
            <w:r>
              <w:rPr>
                <w:rFonts w:hint="eastAsia" w:ascii="宋体" w:hAnsi="宋体" w:cs="MingLiU"/>
                <w:color w:val="auto"/>
                <w:kern w:val="0"/>
                <w:szCs w:val="22"/>
                <w:highlight w:val="none"/>
                <w:lang w:val="en-US" w:eastAsia="zh-CN"/>
              </w:rPr>
              <w:t>9</w:t>
            </w:r>
            <w:r>
              <w:rPr>
                <w:rFonts w:hint="eastAsia" w:ascii="宋体" w:hAnsi="宋体" w:cs="MingLiU"/>
                <w:color w:val="auto"/>
                <w:kern w:val="0"/>
                <w:szCs w:val="22"/>
                <w:highlight w:val="none"/>
              </w:rPr>
              <w:t>时</w:t>
            </w:r>
            <w:r>
              <w:rPr>
                <w:rFonts w:hint="eastAsia" w:ascii="宋体" w:hAnsi="宋体" w:cs="MingLiU"/>
                <w:color w:val="auto"/>
                <w:kern w:val="0"/>
                <w:szCs w:val="22"/>
                <w:highlight w:val="none"/>
                <w:lang w:val="en-US" w:eastAsia="zh-CN"/>
              </w:rPr>
              <w:t>30</w:t>
            </w:r>
            <w:r>
              <w:rPr>
                <w:rFonts w:hint="eastAsia" w:ascii="宋体" w:hAnsi="宋体" w:cs="MingLiU"/>
                <w:color w:val="auto"/>
                <w:kern w:val="0"/>
                <w:szCs w:val="22"/>
                <w:highlight w:val="none"/>
              </w:rPr>
              <w:t>分</w:t>
            </w:r>
            <w:r>
              <w:rPr>
                <w:rFonts w:hint="eastAsia" w:ascii="宋体" w:hAnsi="宋体"/>
                <w:color w:val="auto"/>
                <w:szCs w:val="21"/>
                <w:highlight w:val="none"/>
              </w:rPr>
              <w:t>（北京时间）</w:t>
            </w:r>
          </w:p>
        </w:tc>
      </w:tr>
      <w:tr w14:paraId="17A2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35" w:type="dxa"/>
            <w:vAlign w:val="center"/>
          </w:tcPr>
          <w:p w14:paraId="1C170451">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2.2.3</w:t>
            </w:r>
          </w:p>
        </w:tc>
        <w:tc>
          <w:tcPr>
            <w:tcW w:w="1500" w:type="dxa"/>
            <w:vAlign w:val="center"/>
          </w:tcPr>
          <w:p w14:paraId="607F1E37">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投标人确认收到比选文件澄清时间</w:t>
            </w:r>
          </w:p>
        </w:tc>
        <w:tc>
          <w:tcPr>
            <w:tcW w:w="7189" w:type="dxa"/>
            <w:vAlign w:val="center"/>
          </w:tcPr>
          <w:p w14:paraId="7E4BE497">
            <w:pPr>
              <w:ind w:firstLine="420" w:firstLineChars="200"/>
              <w:rPr>
                <w:color w:val="auto"/>
                <w:highlight w:val="none"/>
              </w:rPr>
            </w:pPr>
            <w:r>
              <w:rPr>
                <w:rFonts w:hint="eastAsia" w:ascii="宋体" w:hAnsi="宋体"/>
                <w:color w:val="auto"/>
                <w:kern w:val="0"/>
                <w:highlight w:val="none"/>
              </w:rPr>
              <w:t xml:space="preserve">比选人在 </w:t>
            </w:r>
            <w:r>
              <w:rPr>
                <w:rFonts w:hint="eastAsia" w:ascii="宋体" w:hAnsi="宋体"/>
                <w:color w:val="auto"/>
                <w:highlight w:val="none"/>
                <w:u w:val="single"/>
                <w:lang w:val="en-US" w:eastAsia="zh-CN"/>
              </w:rPr>
              <w:t>2025</w:t>
            </w:r>
            <w:r>
              <w:rPr>
                <w:rFonts w:hint="eastAsia" w:ascii="宋体" w:hAnsi="宋体"/>
                <w:color w:val="auto"/>
                <w:highlight w:val="none"/>
              </w:rPr>
              <w:t>年</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 xml:space="preserve"> 15 </w:t>
            </w:r>
            <w:r>
              <w:rPr>
                <w:rFonts w:hint="eastAsia" w:ascii="宋体" w:hAnsi="宋体"/>
                <w:color w:val="auto"/>
                <w:highlight w:val="none"/>
              </w:rPr>
              <w:t>日</w:t>
            </w:r>
            <w:r>
              <w:rPr>
                <w:rFonts w:hint="eastAsia" w:asciiTheme="minorEastAsia" w:hAnsiTheme="minorEastAsia" w:cstheme="minorEastAsia"/>
                <w:b w:val="0"/>
                <w:bCs w:val="0"/>
                <w:color w:val="auto"/>
                <w:szCs w:val="21"/>
                <w:highlight w:val="none"/>
                <w:u w:val="single"/>
                <w:lang w:val="en-US" w:eastAsia="zh-CN"/>
              </w:rPr>
              <w:t xml:space="preserve"> 18 </w:t>
            </w:r>
            <w:r>
              <w:rPr>
                <w:rFonts w:hint="eastAsia" w:asciiTheme="minorEastAsia" w:hAnsiTheme="minorEastAsia" w:cstheme="minorEastAsia"/>
                <w:b w:val="0"/>
                <w:bCs w:val="0"/>
                <w:color w:val="auto"/>
                <w:szCs w:val="21"/>
                <w:highlight w:val="none"/>
                <w:u w:val="none"/>
              </w:rPr>
              <w:t>时</w:t>
            </w:r>
            <w:r>
              <w:rPr>
                <w:rFonts w:hint="eastAsia" w:asciiTheme="minorEastAsia" w:hAnsiTheme="minorEastAsia" w:cstheme="minorEastAsia"/>
                <w:b w:val="0"/>
                <w:bCs w:val="0"/>
                <w:color w:val="auto"/>
                <w:szCs w:val="21"/>
                <w:highlight w:val="none"/>
                <w:u w:val="single"/>
                <w:lang w:val="en-US" w:eastAsia="zh-CN"/>
              </w:rPr>
              <w:t xml:space="preserve"> 00 </w:t>
            </w:r>
            <w:r>
              <w:rPr>
                <w:rFonts w:hint="eastAsia" w:asciiTheme="minorEastAsia" w:hAnsiTheme="minorEastAsia" w:cstheme="minorEastAsia"/>
                <w:b w:val="0"/>
                <w:bCs w:val="0"/>
                <w:color w:val="auto"/>
                <w:szCs w:val="21"/>
                <w:highlight w:val="none"/>
                <w:u w:val="none"/>
              </w:rPr>
              <w:t>分</w:t>
            </w:r>
            <w:r>
              <w:rPr>
                <w:rFonts w:hint="eastAsia" w:ascii="宋体" w:hAnsi="宋体"/>
                <w:color w:val="auto"/>
                <w:highlight w:val="none"/>
              </w:rPr>
              <w:t>前</w:t>
            </w:r>
            <w:r>
              <w:rPr>
                <w:rFonts w:hint="eastAsia" w:ascii="宋体" w:hAnsi="宋体"/>
                <w:color w:val="auto"/>
                <w:kern w:val="0"/>
                <w:highlight w:val="none"/>
              </w:rPr>
              <w:t>对所有投标人提出的问题进行回答，但不指明问题的来源，并书面通知已</w:t>
            </w:r>
            <w:r>
              <w:rPr>
                <w:rFonts w:hint="eastAsia" w:ascii="宋体" w:hAnsi="宋体"/>
                <w:color w:val="auto"/>
                <w:kern w:val="0"/>
                <w:highlight w:val="none"/>
                <w:lang w:eastAsia="zh-CN"/>
              </w:rPr>
              <w:t>领取</w:t>
            </w:r>
            <w:r>
              <w:rPr>
                <w:rFonts w:hint="eastAsia" w:ascii="宋体" w:hAnsi="宋体"/>
                <w:color w:val="auto"/>
                <w:kern w:val="0"/>
                <w:highlight w:val="none"/>
              </w:rPr>
              <w:t>比选文件的投标人。无论投标人是否查阅，均视为已知晓比选人所澄清的相关内容。</w:t>
            </w:r>
          </w:p>
        </w:tc>
      </w:tr>
      <w:tr w14:paraId="6622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2D5BE7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2.3.2</w:t>
            </w:r>
          </w:p>
        </w:tc>
        <w:tc>
          <w:tcPr>
            <w:tcW w:w="1500" w:type="dxa"/>
            <w:vAlign w:val="center"/>
          </w:tcPr>
          <w:p w14:paraId="0FFC70A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投标人确认收到</w:t>
            </w:r>
            <w:r>
              <w:rPr>
                <w:rFonts w:hint="eastAsia" w:ascii="宋体" w:hAnsi="宋体"/>
                <w:color w:val="auto"/>
                <w:kern w:val="0"/>
                <w:highlight w:val="none"/>
              </w:rPr>
              <w:t>比选</w:t>
            </w:r>
            <w:r>
              <w:rPr>
                <w:rFonts w:hint="eastAsia" w:ascii="宋体" w:hAnsi="宋体" w:cs="宋体"/>
                <w:color w:val="auto"/>
                <w:kern w:val="0"/>
                <w:szCs w:val="21"/>
                <w:highlight w:val="none"/>
              </w:rPr>
              <w:t>文件修改时间</w:t>
            </w:r>
          </w:p>
        </w:tc>
        <w:tc>
          <w:tcPr>
            <w:tcW w:w="7189" w:type="dxa"/>
            <w:vAlign w:val="center"/>
          </w:tcPr>
          <w:p w14:paraId="6ACC5192">
            <w:pPr>
              <w:ind w:firstLine="420" w:firstLineChars="200"/>
              <w:rPr>
                <w:color w:val="auto"/>
                <w:highlight w:val="none"/>
              </w:rPr>
            </w:pPr>
            <w:r>
              <w:rPr>
                <w:rFonts w:hint="eastAsia" w:ascii="宋体" w:hAnsi="宋体"/>
                <w:color w:val="auto"/>
                <w:kern w:val="0"/>
                <w:highlight w:val="none"/>
              </w:rPr>
              <w:t>在投标截止时间3天前，比选人可以修改竞争性比选文件，并书面通知已</w:t>
            </w:r>
            <w:r>
              <w:rPr>
                <w:rFonts w:hint="eastAsia" w:ascii="宋体" w:hAnsi="宋体"/>
                <w:color w:val="auto"/>
                <w:kern w:val="0"/>
                <w:highlight w:val="none"/>
                <w:lang w:eastAsia="zh-CN"/>
              </w:rPr>
              <w:t>领取</w:t>
            </w:r>
            <w:r>
              <w:rPr>
                <w:rFonts w:hint="eastAsia" w:ascii="宋体" w:hAnsi="宋体"/>
                <w:color w:val="auto"/>
                <w:kern w:val="0"/>
                <w:highlight w:val="none"/>
              </w:rPr>
              <w:t>比选文件的投标人。如果修改竞争性比选文件的时间距投标截止时间不足3天且影响投标文件编制的，相应延长投标截止时间。各投标人自行查阅，无论投标人是否查阅，均视为已知晓比选人所修改的相关内容。</w:t>
            </w:r>
          </w:p>
        </w:tc>
      </w:tr>
      <w:tr w14:paraId="6EBA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48C7FC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500" w:type="dxa"/>
            <w:vAlign w:val="center"/>
          </w:tcPr>
          <w:p w14:paraId="5FC81201">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构成投标文件的其他材料</w:t>
            </w:r>
          </w:p>
        </w:tc>
        <w:tc>
          <w:tcPr>
            <w:tcW w:w="7189" w:type="dxa"/>
            <w:vAlign w:val="center"/>
          </w:tcPr>
          <w:p w14:paraId="5C147B67">
            <w:pPr>
              <w:snapToGrid w:val="0"/>
              <w:spacing w:line="400" w:lineRule="exact"/>
              <w:ind w:firstLine="342" w:firstLineChars="163"/>
              <w:rPr>
                <w:rFonts w:ascii="宋体" w:hAnsi="宋体"/>
                <w:color w:val="auto"/>
                <w:kern w:val="0"/>
                <w:highlight w:val="none"/>
              </w:rPr>
            </w:pPr>
            <w:r>
              <w:rPr>
                <w:rFonts w:hint="eastAsia" w:ascii="宋体" w:hAnsi="宋体"/>
                <w:color w:val="auto"/>
                <w:kern w:val="0"/>
                <w:highlight w:val="none"/>
              </w:rPr>
              <w:t>投标人的书面澄清、说明和补正（但不得改变投标文件的实质性内容）。</w:t>
            </w:r>
          </w:p>
        </w:tc>
      </w:tr>
      <w:tr w14:paraId="1AF3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5" w:type="dxa"/>
            <w:vAlign w:val="center"/>
          </w:tcPr>
          <w:p w14:paraId="3EBDF444">
            <w:pPr>
              <w:snapToGrid w:val="0"/>
              <w:spacing w:line="320" w:lineRule="exact"/>
              <w:jc w:val="center"/>
              <w:rPr>
                <w:rFonts w:ascii="宋体" w:hAnsi="宋体" w:cs="宋体"/>
                <w:color w:val="auto"/>
                <w:kern w:val="0"/>
                <w:szCs w:val="21"/>
                <w:highlight w:val="none"/>
              </w:rPr>
            </w:pPr>
          </w:p>
          <w:p w14:paraId="0714862B">
            <w:pPr>
              <w:snapToGrid w:val="0"/>
              <w:spacing w:line="320" w:lineRule="exact"/>
              <w:jc w:val="center"/>
              <w:rPr>
                <w:rFonts w:ascii="宋体" w:hAnsi="宋体" w:cs="宋体"/>
                <w:color w:val="auto"/>
                <w:kern w:val="0"/>
                <w:szCs w:val="21"/>
                <w:highlight w:val="none"/>
              </w:rPr>
            </w:pPr>
          </w:p>
          <w:p w14:paraId="78ED1990">
            <w:pPr>
              <w:snapToGrid w:val="0"/>
              <w:spacing w:line="320" w:lineRule="exact"/>
              <w:jc w:val="center"/>
              <w:rPr>
                <w:rFonts w:ascii="宋体" w:hAnsi="宋体" w:cs="宋体"/>
                <w:color w:val="auto"/>
                <w:kern w:val="0"/>
                <w:szCs w:val="21"/>
                <w:highlight w:val="none"/>
              </w:rPr>
            </w:pPr>
          </w:p>
          <w:p w14:paraId="2A6C6CE5">
            <w:pPr>
              <w:snapToGrid w:val="0"/>
              <w:spacing w:line="320" w:lineRule="exact"/>
              <w:jc w:val="center"/>
              <w:rPr>
                <w:rFonts w:ascii="宋体" w:hAnsi="宋体" w:cs="宋体"/>
                <w:color w:val="auto"/>
                <w:kern w:val="0"/>
                <w:szCs w:val="21"/>
                <w:highlight w:val="none"/>
              </w:rPr>
            </w:pPr>
          </w:p>
          <w:p w14:paraId="014E259C">
            <w:pPr>
              <w:snapToGrid w:val="0"/>
              <w:spacing w:line="320" w:lineRule="exact"/>
              <w:jc w:val="center"/>
              <w:rPr>
                <w:rFonts w:ascii="宋体" w:hAnsi="宋体" w:cs="宋体"/>
                <w:color w:val="auto"/>
                <w:kern w:val="0"/>
                <w:szCs w:val="21"/>
                <w:highlight w:val="none"/>
              </w:rPr>
            </w:pPr>
          </w:p>
          <w:p w14:paraId="0E456190">
            <w:pPr>
              <w:snapToGrid w:val="0"/>
              <w:spacing w:line="320" w:lineRule="exact"/>
              <w:jc w:val="center"/>
              <w:rPr>
                <w:rFonts w:ascii="宋体" w:hAnsi="宋体" w:cs="宋体"/>
                <w:color w:val="auto"/>
                <w:kern w:val="0"/>
                <w:szCs w:val="21"/>
                <w:highlight w:val="none"/>
              </w:rPr>
            </w:pPr>
          </w:p>
          <w:p w14:paraId="5D6FF368">
            <w:pPr>
              <w:snapToGrid w:val="0"/>
              <w:spacing w:line="320" w:lineRule="exact"/>
              <w:jc w:val="center"/>
              <w:rPr>
                <w:rFonts w:ascii="宋体" w:hAnsi="宋体" w:cs="宋体"/>
                <w:color w:val="auto"/>
                <w:kern w:val="0"/>
                <w:szCs w:val="21"/>
                <w:highlight w:val="none"/>
              </w:rPr>
            </w:pPr>
          </w:p>
          <w:p w14:paraId="4462FEEE">
            <w:pPr>
              <w:snapToGrid w:val="0"/>
              <w:spacing w:line="320" w:lineRule="exact"/>
              <w:jc w:val="center"/>
              <w:rPr>
                <w:rFonts w:ascii="宋体" w:hAnsi="宋体" w:cs="宋体"/>
                <w:color w:val="auto"/>
                <w:kern w:val="0"/>
                <w:szCs w:val="21"/>
                <w:highlight w:val="none"/>
              </w:rPr>
            </w:pPr>
          </w:p>
          <w:p w14:paraId="046F2BC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p w14:paraId="47951E1D">
            <w:pPr>
              <w:snapToGrid w:val="0"/>
              <w:spacing w:line="320" w:lineRule="exact"/>
              <w:jc w:val="center"/>
              <w:rPr>
                <w:rFonts w:ascii="宋体" w:hAnsi="宋体" w:cs="宋体"/>
                <w:color w:val="auto"/>
                <w:kern w:val="0"/>
                <w:szCs w:val="21"/>
                <w:highlight w:val="none"/>
              </w:rPr>
            </w:pPr>
          </w:p>
          <w:p w14:paraId="56B99A16">
            <w:pPr>
              <w:snapToGrid w:val="0"/>
              <w:spacing w:line="320" w:lineRule="exact"/>
              <w:jc w:val="center"/>
              <w:rPr>
                <w:rFonts w:ascii="宋体" w:hAnsi="宋体" w:cs="宋体"/>
                <w:color w:val="auto"/>
                <w:kern w:val="0"/>
                <w:szCs w:val="21"/>
                <w:highlight w:val="none"/>
              </w:rPr>
            </w:pPr>
          </w:p>
          <w:p w14:paraId="047DA998">
            <w:pPr>
              <w:snapToGrid w:val="0"/>
              <w:spacing w:line="320" w:lineRule="exact"/>
              <w:jc w:val="center"/>
              <w:rPr>
                <w:rFonts w:ascii="宋体" w:hAnsi="宋体" w:cs="宋体"/>
                <w:color w:val="auto"/>
                <w:kern w:val="0"/>
                <w:szCs w:val="21"/>
                <w:highlight w:val="none"/>
              </w:rPr>
            </w:pPr>
          </w:p>
          <w:p w14:paraId="56506B2A">
            <w:pPr>
              <w:snapToGrid w:val="0"/>
              <w:spacing w:line="320" w:lineRule="exact"/>
              <w:jc w:val="center"/>
              <w:rPr>
                <w:rFonts w:ascii="宋体" w:hAnsi="宋体" w:cs="宋体"/>
                <w:color w:val="auto"/>
                <w:kern w:val="0"/>
                <w:szCs w:val="21"/>
                <w:highlight w:val="none"/>
              </w:rPr>
            </w:pPr>
          </w:p>
          <w:p w14:paraId="0DCAF7D8">
            <w:pPr>
              <w:snapToGrid w:val="0"/>
              <w:spacing w:line="320" w:lineRule="exact"/>
              <w:jc w:val="center"/>
              <w:rPr>
                <w:rFonts w:ascii="宋体" w:hAnsi="宋体" w:cs="宋体"/>
                <w:color w:val="auto"/>
                <w:kern w:val="0"/>
                <w:szCs w:val="21"/>
                <w:highlight w:val="none"/>
              </w:rPr>
            </w:pPr>
          </w:p>
          <w:p w14:paraId="7FD5B855">
            <w:pPr>
              <w:snapToGrid w:val="0"/>
              <w:spacing w:line="320" w:lineRule="exact"/>
              <w:jc w:val="center"/>
              <w:rPr>
                <w:rFonts w:ascii="宋体" w:hAnsi="宋体" w:cs="宋体"/>
                <w:color w:val="auto"/>
                <w:kern w:val="0"/>
                <w:szCs w:val="21"/>
                <w:highlight w:val="none"/>
              </w:rPr>
            </w:pPr>
          </w:p>
          <w:p w14:paraId="1FB1F6B8">
            <w:pPr>
              <w:snapToGrid w:val="0"/>
              <w:spacing w:line="320" w:lineRule="exact"/>
              <w:jc w:val="center"/>
              <w:rPr>
                <w:rFonts w:ascii="宋体" w:hAnsi="宋体" w:cs="宋体"/>
                <w:color w:val="auto"/>
                <w:kern w:val="0"/>
                <w:szCs w:val="21"/>
                <w:highlight w:val="none"/>
              </w:rPr>
            </w:pPr>
          </w:p>
          <w:p w14:paraId="0623FB6F">
            <w:pPr>
              <w:snapToGrid w:val="0"/>
              <w:spacing w:line="320" w:lineRule="exact"/>
              <w:jc w:val="center"/>
              <w:rPr>
                <w:rFonts w:ascii="宋体" w:hAnsi="宋体" w:cs="宋体"/>
                <w:color w:val="auto"/>
                <w:kern w:val="0"/>
                <w:szCs w:val="21"/>
                <w:highlight w:val="none"/>
              </w:rPr>
            </w:pPr>
          </w:p>
          <w:p w14:paraId="23DC6634">
            <w:pPr>
              <w:snapToGrid w:val="0"/>
              <w:spacing w:line="320" w:lineRule="exact"/>
              <w:jc w:val="center"/>
              <w:rPr>
                <w:rFonts w:ascii="宋体" w:hAnsi="宋体" w:cs="宋体"/>
                <w:color w:val="auto"/>
                <w:kern w:val="0"/>
                <w:szCs w:val="21"/>
                <w:highlight w:val="none"/>
              </w:rPr>
            </w:pPr>
          </w:p>
          <w:p w14:paraId="5E0DF988">
            <w:pPr>
              <w:snapToGrid w:val="0"/>
              <w:spacing w:line="320" w:lineRule="exact"/>
              <w:jc w:val="center"/>
              <w:rPr>
                <w:rFonts w:ascii="宋体" w:hAnsi="宋体" w:cs="宋体"/>
                <w:color w:val="auto"/>
                <w:kern w:val="0"/>
                <w:szCs w:val="21"/>
                <w:highlight w:val="none"/>
              </w:rPr>
            </w:pPr>
          </w:p>
          <w:p w14:paraId="072C5C59">
            <w:pPr>
              <w:snapToGrid w:val="0"/>
              <w:spacing w:line="320" w:lineRule="exact"/>
              <w:jc w:val="center"/>
              <w:rPr>
                <w:rFonts w:ascii="宋体" w:hAnsi="宋体" w:cs="宋体"/>
                <w:color w:val="auto"/>
                <w:kern w:val="0"/>
                <w:szCs w:val="21"/>
                <w:highlight w:val="none"/>
              </w:rPr>
            </w:pPr>
          </w:p>
          <w:p w14:paraId="5D5B9B11">
            <w:pPr>
              <w:snapToGrid w:val="0"/>
              <w:spacing w:line="320" w:lineRule="exact"/>
              <w:jc w:val="center"/>
              <w:rPr>
                <w:rFonts w:ascii="宋体" w:hAnsi="宋体" w:cs="宋体"/>
                <w:color w:val="auto"/>
                <w:kern w:val="0"/>
                <w:szCs w:val="21"/>
                <w:highlight w:val="none"/>
              </w:rPr>
            </w:pPr>
          </w:p>
          <w:p w14:paraId="34640B02">
            <w:pPr>
              <w:snapToGrid w:val="0"/>
              <w:spacing w:line="320" w:lineRule="exact"/>
              <w:jc w:val="center"/>
              <w:rPr>
                <w:rFonts w:ascii="宋体" w:hAnsi="宋体" w:cs="宋体"/>
                <w:color w:val="auto"/>
                <w:kern w:val="0"/>
                <w:szCs w:val="21"/>
                <w:highlight w:val="none"/>
              </w:rPr>
            </w:pPr>
          </w:p>
          <w:p w14:paraId="3D2B04A7">
            <w:pPr>
              <w:snapToGrid w:val="0"/>
              <w:spacing w:line="320" w:lineRule="exact"/>
              <w:jc w:val="center"/>
              <w:rPr>
                <w:rFonts w:ascii="宋体" w:hAnsi="宋体" w:cs="宋体"/>
                <w:color w:val="auto"/>
                <w:kern w:val="0"/>
                <w:szCs w:val="21"/>
                <w:highlight w:val="none"/>
              </w:rPr>
            </w:pPr>
          </w:p>
          <w:p w14:paraId="6F5ABD6D">
            <w:pPr>
              <w:snapToGrid w:val="0"/>
              <w:spacing w:line="320" w:lineRule="exact"/>
              <w:jc w:val="center"/>
              <w:rPr>
                <w:rFonts w:ascii="宋体" w:hAnsi="宋体" w:cs="宋体"/>
                <w:color w:val="auto"/>
                <w:kern w:val="0"/>
                <w:szCs w:val="21"/>
                <w:highlight w:val="none"/>
              </w:rPr>
            </w:pPr>
          </w:p>
          <w:p w14:paraId="3716C0C3">
            <w:pPr>
              <w:snapToGrid w:val="0"/>
              <w:spacing w:line="320" w:lineRule="exact"/>
              <w:jc w:val="center"/>
              <w:rPr>
                <w:rFonts w:ascii="宋体" w:hAnsi="宋体" w:cs="宋体"/>
                <w:color w:val="auto"/>
                <w:kern w:val="0"/>
                <w:szCs w:val="21"/>
                <w:highlight w:val="none"/>
              </w:rPr>
            </w:pPr>
          </w:p>
          <w:p w14:paraId="1F1FD760">
            <w:pPr>
              <w:snapToGrid w:val="0"/>
              <w:spacing w:line="320" w:lineRule="exact"/>
              <w:jc w:val="center"/>
              <w:rPr>
                <w:rFonts w:ascii="宋体" w:hAnsi="宋体" w:cs="宋体"/>
                <w:color w:val="auto"/>
                <w:kern w:val="0"/>
                <w:szCs w:val="21"/>
                <w:highlight w:val="none"/>
              </w:rPr>
            </w:pPr>
          </w:p>
          <w:p w14:paraId="50B94CE4">
            <w:pPr>
              <w:snapToGrid w:val="0"/>
              <w:spacing w:line="320" w:lineRule="exact"/>
              <w:jc w:val="center"/>
              <w:rPr>
                <w:rFonts w:ascii="宋体" w:hAnsi="宋体" w:cs="宋体"/>
                <w:color w:val="auto"/>
                <w:kern w:val="0"/>
                <w:szCs w:val="21"/>
                <w:highlight w:val="none"/>
              </w:rPr>
            </w:pPr>
          </w:p>
          <w:p w14:paraId="32B5859B">
            <w:pPr>
              <w:snapToGrid w:val="0"/>
              <w:spacing w:line="320" w:lineRule="exact"/>
              <w:jc w:val="center"/>
              <w:rPr>
                <w:rFonts w:ascii="宋体" w:hAnsi="宋体" w:cs="宋体"/>
                <w:color w:val="auto"/>
                <w:kern w:val="0"/>
                <w:szCs w:val="21"/>
                <w:highlight w:val="none"/>
              </w:rPr>
            </w:pPr>
          </w:p>
          <w:p w14:paraId="5EA2FEA1">
            <w:pPr>
              <w:snapToGrid w:val="0"/>
              <w:spacing w:line="320" w:lineRule="exact"/>
              <w:jc w:val="center"/>
              <w:rPr>
                <w:rFonts w:ascii="宋体" w:hAnsi="宋体" w:cs="宋体"/>
                <w:color w:val="auto"/>
                <w:kern w:val="0"/>
                <w:szCs w:val="21"/>
                <w:highlight w:val="none"/>
              </w:rPr>
            </w:pPr>
          </w:p>
          <w:p w14:paraId="0C99C47F">
            <w:pPr>
              <w:snapToGrid w:val="0"/>
              <w:spacing w:line="320" w:lineRule="exact"/>
              <w:jc w:val="center"/>
              <w:rPr>
                <w:rFonts w:ascii="宋体" w:hAnsi="宋体" w:cs="宋体"/>
                <w:color w:val="auto"/>
                <w:kern w:val="0"/>
                <w:szCs w:val="21"/>
                <w:highlight w:val="none"/>
              </w:rPr>
            </w:pPr>
          </w:p>
          <w:p w14:paraId="7FDDD7BA">
            <w:pPr>
              <w:snapToGrid w:val="0"/>
              <w:spacing w:line="320" w:lineRule="exact"/>
              <w:jc w:val="center"/>
              <w:rPr>
                <w:rFonts w:ascii="宋体" w:hAnsi="宋体" w:cs="宋体"/>
                <w:color w:val="auto"/>
                <w:kern w:val="0"/>
                <w:szCs w:val="21"/>
                <w:highlight w:val="none"/>
              </w:rPr>
            </w:pPr>
          </w:p>
          <w:p w14:paraId="1E083282">
            <w:pPr>
              <w:snapToGrid w:val="0"/>
              <w:spacing w:line="320" w:lineRule="exact"/>
              <w:jc w:val="center"/>
              <w:rPr>
                <w:rFonts w:ascii="宋体" w:hAnsi="宋体" w:cs="宋体"/>
                <w:color w:val="auto"/>
                <w:kern w:val="0"/>
                <w:szCs w:val="21"/>
                <w:highlight w:val="none"/>
              </w:rPr>
            </w:pPr>
          </w:p>
          <w:p w14:paraId="7BF9BD38">
            <w:pPr>
              <w:snapToGrid w:val="0"/>
              <w:spacing w:line="320" w:lineRule="exact"/>
              <w:jc w:val="center"/>
              <w:rPr>
                <w:rFonts w:ascii="宋体" w:hAnsi="宋体" w:cs="宋体"/>
                <w:color w:val="auto"/>
                <w:kern w:val="0"/>
                <w:szCs w:val="21"/>
                <w:highlight w:val="none"/>
              </w:rPr>
            </w:pPr>
          </w:p>
          <w:p w14:paraId="24CE3336">
            <w:pPr>
              <w:snapToGrid w:val="0"/>
              <w:spacing w:line="320" w:lineRule="exact"/>
              <w:jc w:val="center"/>
              <w:rPr>
                <w:rFonts w:ascii="宋体" w:hAnsi="宋体" w:cs="宋体"/>
                <w:color w:val="auto"/>
                <w:kern w:val="0"/>
                <w:szCs w:val="21"/>
                <w:highlight w:val="none"/>
              </w:rPr>
            </w:pPr>
          </w:p>
          <w:p w14:paraId="2F09178A">
            <w:pPr>
              <w:snapToGrid w:val="0"/>
              <w:spacing w:line="320" w:lineRule="exact"/>
              <w:jc w:val="center"/>
              <w:rPr>
                <w:rFonts w:ascii="宋体" w:hAnsi="宋体" w:cs="宋体"/>
                <w:color w:val="auto"/>
                <w:kern w:val="0"/>
                <w:szCs w:val="21"/>
                <w:highlight w:val="none"/>
              </w:rPr>
            </w:pPr>
          </w:p>
          <w:p w14:paraId="6B1BAB83">
            <w:pPr>
              <w:snapToGrid w:val="0"/>
              <w:spacing w:line="320" w:lineRule="exact"/>
              <w:jc w:val="center"/>
              <w:rPr>
                <w:rFonts w:ascii="宋体" w:hAnsi="宋体" w:cs="宋体"/>
                <w:color w:val="auto"/>
                <w:kern w:val="0"/>
                <w:szCs w:val="21"/>
                <w:highlight w:val="none"/>
              </w:rPr>
            </w:pPr>
          </w:p>
          <w:p w14:paraId="04A111F3">
            <w:pPr>
              <w:snapToGrid w:val="0"/>
              <w:spacing w:line="320" w:lineRule="exact"/>
              <w:jc w:val="center"/>
              <w:rPr>
                <w:rFonts w:ascii="宋体" w:hAnsi="宋体" w:cs="宋体"/>
                <w:color w:val="auto"/>
                <w:kern w:val="0"/>
                <w:szCs w:val="21"/>
                <w:highlight w:val="none"/>
              </w:rPr>
            </w:pPr>
          </w:p>
          <w:p w14:paraId="7CF96D3C">
            <w:pPr>
              <w:snapToGrid w:val="0"/>
              <w:spacing w:line="320" w:lineRule="exact"/>
              <w:jc w:val="center"/>
              <w:rPr>
                <w:rFonts w:ascii="宋体" w:hAnsi="宋体" w:cs="宋体"/>
                <w:color w:val="auto"/>
                <w:kern w:val="0"/>
                <w:szCs w:val="21"/>
                <w:highlight w:val="none"/>
              </w:rPr>
            </w:pPr>
          </w:p>
          <w:p w14:paraId="31842759">
            <w:pPr>
              <w:snapToGrid w:val="0"/>
              <w:spacing w:line="320" w:lineRule="exact"/>
              <w:jc w:val="center"/>
              <w:rPr>
                <w:rFonts w:ascii="宋体" w:hAnsi="宋体" w:cs="宋体"/>
                <w:color w:val="auto"/>
                <w:kern w:val="0"/>
                <w:szCs w:val="21"/>
                <w:highlight w:val="none"/>
              </w:rPr>
            </w:pPr>
          </w:p>
          <w:p w14:paraId="17564C7E">
            <w:pPr>
              <w:snapToGrid w:val="0"/>
              <w:spacing w:line="320" w:lineRule="exact"/>
              <w:jc w:val="center"/>
              <w:rPr>
                <w:rFonts w:ascii="宋体" w:hAnsi="宋体" w:cs="宋体"/>
                <w:color w:val="auto"/>
                <w:kern w:val="0"/>
                <w:szCs w:val="21"/>
                <w:highlight w:val="none"/>
              </w:rPr>
            </w:pPr>
          </w:p>
          <w:p w14:paraId="6C9E89FD">
            <w:pPr>
              <w:snapToGrid w:val="0"/>
              <w:spacing w:line="320" w:lineRule="exact"/>
              <w:jc w:val="center"/>
              <w:rPr>
                <w:rFonts w:ascii="宋体" w:hAnsi="宋体" w:cs="宋体"/>
                <w:color w:val="auto"/>
                <w:kern w:val="0"/>
                <w:szCs w:val="21"/>
                <w:highlight w:val="none"/>
              </w:rPr>
            </w:pPr>
          </w:p>
          <w:p w14:paraId="494D369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p w14:paraId="0ED2FA83">
            <w:pPr>
              <w:snapToGrid w:val="0"/>
              <w:spacing w:line="320" w:lineRule="exact"/>
              <w:jc w:val="center"/>
              <w:rPr>
                <w:rFonts w:ascii="宋体" w:hAnsi="宋体" w:cs="宋体"/>
                <w:color w:val="auto"/>
                <w:kern w:val="0"/>
                <w:szCs w:val="21"/>
                <w:highlight w:val="none"/>
              </w:rPr>
            </w:pPr>
          </w:p>
          <w:p w14:paraId="71DF6A42">
            <w:pPr>
              <w:snapToGrid w:val="0"/>
              <w:spacing w:line="320" w:lineRule="exact"/>
              <w:jc w:val="center"/>
              <w:rPr>
                <w:rFonts w:ascii="宋体" w:hAnsi="宋体" w:cs="宋体"/>
                <w:color w:val="auto"/>
                <w:kern w:val="0"/>
                <w:szCs w:val="21"/>
                <w:highlight w:val="none"/>
              </w:rPr>
            </w:pPr>
          </w:p>
          <w:p w14:paraId="708E15E4">
            <w:pPr>
              <w:snapToGrid w:val="0"/>
              <w:spacing w:line="320" w:lineRule="exact"/>
              <w:jc w:val="center"/>
              <w:rPr>
                <w:rFonts w:ascii="宋体" w:hAnsi="宋体" w:cs="宋体"/>
                <w:color w:val="auto"/>
                <w:kern w:val="0"/>
                <w:szCs w:val="21"/>
                <w:highlight w:val="none"/>
              </w:rPr>
            </w:pPr>
          </w:p>
          <w:p w14:paraId="3D5FBE5B">
            <w:pPr>
              <w:snapToGrid w:val="0"/>
              <w:spacing w:line="320" w:lineRule="exact"/>
              <w:jc w:val="center"/>
              <w:rPr>
                <w:rFonts w:ascii="宋体" w:hAnsi="宋体" w:cs="宋体"/>
                <w:color w:val="auto"/>
                <w:kern w:val="0"/>
                <w:szCs w:val="21"/>
                <w:highlight w:val="none"/>
              </w:rPr>
            </w:pPr>
          </w:p>
          <w:p w14:paraId="28F8FE18">
            <w:pPr>
              <w:snapToGrid w:val="0"/>
              <w:spacing w:line="320" w:lineRule="exact"/>
              <w:jc w:val="center"/>
              <w:rPr>
                <w:rFonts w:ascii="宋体" w:hAnsi="宋体" w:cs="宋体"/>
                <w:color w:val="auto"/>
                <w:kern w:val="0"/>
                <w:szCs w:val="21"/>
                <w:highlight w:val="none"/>
              </w:rPr>
            </w:pPr>
          </w:p>
          <w:p w14:paraId="209E0273">
            <w:pPr>
              <w:snapToGrid w:val="0"/>
              <w:spacing w:line="320" w:lineRule="exact"/>
              <w:jc w:val="center"/>
              <w:rPr>
                <w:rFonts w:ascii="宋体" w:hAnsi="宋体" w:cs="宋体"/>
                <w:color w:val="auto"/>
                <w:kern w:val="0"/>
                <w:szCs w:val="21"/>
                <w:highlight w:val="none"/>
              </w:rPr>
            </w:pPr>
          </w:p>
          <w:p w14:paraId="45CE591E">
            <w:pPr>
              <w:snapToGrid w:val="0"/>
              <w:spacing w:line="320" w:lineRule="exact"/>
              <w:jc w:val="center"/>
              <w:rPr>
                <w:rFonts w:ascii="宋体" w:hAnsi="宋体" w:cs="宋体"/>
                <w:color w:val="auto"/>
                <w:kern w:val="0"/>
                <w:szCs w:val="21"/>
                <w:highlight w:val="none"/>
              </w:rPr>
            </w:pPr>
          </w:p>
          <w:p w14:paraId="050BAD57">
            <w:pPr>
              <w:snapToGrid w:val="0"/>
              <w:spacing w:line="320" w:lineRule="exact"/>
              <w:jc w:val="center"/>
              <w:rPr>
                <w:rFonts w:ascii="宋体" w:hAnsi="宋体" w:cs="宋体"/>
                <w:color w:val="auto"/>
                <w:kern w:val="0"/>
                <w:szCs w:val="21"/>
                <w:highlight w:val="none"/>
              </w:rPr>
            </w:pPr>
          </w:p>
          <w:p w14:paraId="5FC23D3F">
            <w:pPr>
              <w:snapToGrid w:val="0"/>
              <w:spacing w:line="320" w:lineRule="exact"/>
              <w:jc w:val="center"/>
              <w:rPr>
                <w:rFonts w:ascii="宋体" w:hAnsi="宋体" w:cs="宋体"/>
                <w:color w:val="auto"/>
                <w:kern w:val="0"/>
                <w:szCs w:val="21"/>
                <w:highlight w:val="none"/>
              </w:rPr>
            </w:pPr>
          </w:p>
          <w:p w14:paraId="2B6610F2">
            <w:pPr>
              <w:snapToGrid w:val="0"/>
              <w:spacing w:line="320" w:lineRule="exact"/>
              <w:jc w:val="center"/>
              <w:rPr>
                <w:rFonts w:ascii="宋体" w:hAnsi="宋体" w:cs="宋体"/>
                <w:color w:val="auto"/>
                <w:kern w:val="0"/>
                <w:szCs w:val="21"/>
                <w:highlight w:val="none"/>
              </w:rPr>
            </w:pPr>
          </w:p>
          <w:p w14:paraId="273DE09E">
            <w:pPr>
              <w:snapToGrid w:val="0"/>
              <w:spacing w:line="320" w:lineRule="exact"/>
              <w:jc w:val="center"/>
              <w:rPr>
                <w:rFonts w:ascii="宋体" w:hAnsi="宋体" w:cs="宋体"/>
                <w:color w:val="auto"/>
                <w:kern w:val="0"/>
                <w:szCs w:val="21"/>
                <w:highlight w:val="none"/>
              </w:rPr>
            </w:pPr>
          </w:p>
          <w:p w14:paraId="47738EDD">
            <w:pPr>
              <w:snapToGrid w:val="0"/>
              <w:spacing w:line="320" w:lineRule="exact"/>
              <w:jc w:val="center"/>
              <w:rPr>
                <w:rFonts w:ascii="宋体" w:hAnsi="宋体" w:cs="宋体"/>
                <w:color w:val="auto"/>
                <w:kern w:val="0"/>
                <w:szCs w:val="21"/>
                <w:highlight w:val="none"/>
              </w:rPr>
            </w:pPr>
          </w:p>
          <w:p w14:paraId="73F94230">
            <w:pPr>
              <w:snapToGrid w:val="0"/>
              <w:spacing w:line="320" w:lineRule="exact"/>
              <w:jc w:val="center"/>
              <w:rPr>
                <w:rFonts w:ascii="宋体" w:hAnsi="宋体" w:cs="宋体"/>
                <w:color w:val="auto"/>
                <w:kern w:val="0"/>
                <w:szCs w:val="21"/>
                <w:highlight w:val="none"/>
              </w:rPr>
            </w:pPr>
          </w:p>
          <w:p w14:paraId="43949D71">
            <w:pPr>
              <w:snapToGrid w:val="0"/>
              <w:spacing w:line="320" w:lineRule="exact"/>
              <w:jc w:val="center"/>
              <w:rPr>
                <w:rFonts w:ascii="宋体" w:hAnsi="宋体" w:cs="宋体"/>
                <w:color w:val="auto"/>
                <w:kern w:val="0"/>
                <w:szCs w:val="21"/>
                <w:highlight w:val="none"/>
              </w:rPr>
            </w:pPr>
          </w:p>
          <w:p w14:paraId="388BF39B">
            <w:pPr>
              <w:snapToGrid w:val="0"/>
              <w:spacing w:line="320" w:lineRule="exact"/>
              <w:jc w:val="center"/>
              <w:rPr>
                <w:rFonts w:ascii="宋体" w:hAnsi="宋体" w:cs="宋体"/>
                <w:color w:val="auto"/>
                <w:kern w:val="0"/>
                <w:szCs w:val="21"/>
                <w:highlight w:val="none"/>
              </w:rPr>
            </w:pPr>
          </w:p>
          <w:p w14:paraId="7B34AA43">
            <w:pPr>
              <w:snapToGrid w:val="0"/>
              <w:spacing w:line="320" w:lineRule="exact"/>
              <w:jc w:val="center"/>
              <w:rPr>
                <w:rFonts w:ascii="宋体" w:hAnsi="宋体" w:cs="宋体"/>
                <w:color w:val="auto"/>
                <w:kern w:val="0"/>
                <w:szCs w:val="21"/>
                <w:highlight w:val="none"/>
              </w:rPr>
            </w:pPr>
          </w:p>
          <w:p w14:paraId="389F8BC8">
            <w:pPr>
              <w:snapToGrid w:val="0"/>
              <w:spacing w:line="320" w:lineRule="exact"/>
              <w:jc w:val="center"/>
              <w:rPr>
                <w:rFonts w:ascii="宋体" w:hAnsi="宋体" w:cs="宋体"/>
                <w:color w:val="auto"/>
                <w:kern w:val="0"/>
                <w:szCs w:val="21"/>
                <w:highlight w:val="none"/>
              </w:rPr>
            </w:pPr>
          </w:p>
          <w:p w14:paraId="005471DB">
            <w:pPr>
              <w:snapToGrid w:val="0"/>
              <w:spacing w:line="320" w:lineRule="exact"/>
              <w:jc w:val="center"/>
              <w:rPr>
                <w:rFonts w:ascii="宋体" w:hAnsi="宋体" w:cs="宋体"/>
                <w:color w:val="auto"/>
                <w:kern w:val="0"/>
                <w:szCs w:val="21"/>
                <w:highlight w:val="none"/>
              </w:rPr>
            </w:pPr>
          </w:p>
          <w:p w14:paraId="741E1B59">
            <w:pPr>
              <w:snapToGrid w:val="0"/>
              <w:spacing w:line="320" w:lineRule="exact"/>
              <w:jc w:val="center"/>
              <w:rPr>
                <w:rFonts w:ascii="宋体" w:hAnsi="宋体" w:cs="宋体"/>
                <w:color w:val="auto"/>
                <w:kern w:val="0"/>
                <w:szCs w:val="21"/>
                <w:highlight w:val="none"/>
              </w:rPr>
            </w:pPr>
          </w:p>
          <w:p w14:paraId="26E5884A">
            <w:pPr>
              <w:snapToGrid w:val="0"/>
              <w:spacing w:line="320" w:lineRule="exact"/>
              <w:jc w:val="center"/>
              <w:rPr>
                <w:rFonts w:ascii="宋体" w:hAnsi="宋体" w:cs="宋体"/>
                <w:color w:val="auto"/>
                <w:kern w:val="0"/>
                <w:szCs w:val="21"/>
                <w:highlight w:val="none"/>
              </w:rPr>
            </w:pPr>
          </w:p>
          <w:p w14:paraId="17F570ED">
            <w:pPr>
              <w:snapToGrid w:val="0"/>
              <w:spacing w:line="320" w:lineRule="exact"/>
              <w:jc w:val="center"/>
              <w:rPr>
                <w:rFonts w:ascii="宋体" w:hAnsi="宋体" w:cs="宋体"/>
                <w:color w:val="auto"/>
                <w:kern w:val="0"/>
                <w:szCs w:val="21"/>
                <w:highlight w:val="none"/>
              </w:rPr>
            </w:pPr>
          </w:p>
          <w:p w14:paraId="188FC5EA">
            <w:pPr>
              <w:snapToGrid w:val="0"/>
              <w:spacing w:line="320" w:lineRule="exact"/>
              <w:rPr>
                <w:rFonts w:ascii="宋体" w:hAnsi="宋体" w:cs="宋体"/>
                <w:color w:val="auto"/>
                <w:kern w:val="0"/>
                <w:szCs w:val="21"/>
                <w:highlight w:val="none"/>
              </w:rPr>
            </w:pPr>
          </w:p>
        </w:tc>
        <w:tc>
          <w:tcPr>
            <w:tcW w:w="1500" w:type="dxa"/>
            <w:vAlign w:val="center"/>
          </w:tcPr>
          <w:p w14:paraId="1CB2BDD5">
            <w:pPr>
              <w:snapToGrid w:val="0"/>
              <w:spacing w:line="320" w:lineRule="exact"/>
              <w:jc w:val="center"/>
              <w:rPr>
                <w:rFonts w:ascii="宋体" w:hAnsi="宋体" w:cs="宋体"/>
                <w:color w:val="auto"/>
                <w:kern w:val="0"/>
                <w:szCs w:val="21"/>
                <w:highlight w:val="none"/>
              </w:rPr>
            </w:pPr>
          </w:p>
          <w:p w14:paraId="55B860FB">
            <w:pPr>
              <w:snapToGrid w:val="0"/>
              <w:spacing w:line="320" w:lineRule="exact"/>
              <w:jc w:val="center"/>
              <w:rPr>
                <w:rFonts w:ascii="宋体" w:hAnsi="宋体" w:cs="宋体"/>
                <w:color w:val="auto"/>
                <w:kern w:val="0"/>
                <w:szCs w:val="21"/>
                <w:highlight w:val="none"/>
              </w:rPr>
            </w:pPr>
          </w:p>
          <w:p w14:paraId="50ADB295">
            <w:pPr>
              <w:snapToGrid w:val="0"/>
              <w:spacing w:line="320" w:lineRule="exact"/>
              <w:jc w:val="center"/>
              <w:rPr>
                <w:rFonts w:ascii="宋体" w:hAnsi="宋体" w:cs="宋体"/>
                <w:color w:val="auto"/>
                <w:kern w:val="0"/>
                <w:szCs w:val="21"/>
                <w:highlight w:val="none"/>
              </w:rPr>
            </w:pPr>
          </w:p>
          <w:p w14:paraId="547E8DA6">
            <w:pPr>
              <w:snapToGrid w:val="0"/>
              <w:spacing w:line="320" w:lineRule="exact"/>
              <w:jc w:val="center"/>
              <w:rPr>
                <w:rFonts w:ascii="宋体" w:hAnsi="宋体" w:cs="宋体"/>
                <w:color w:val="auto"/>
                <w:kern w:val="0"/>
                <w:szCs w:val="21"/>
                <w:highlight w:val="none"/>
              </w:rPr>
            </w:pPr>
          </w:p>
          <w:p w14:paraId="1304BB60">
            <w:pPr>
              <w:snapToGrid w:val="0"/>
              <w:spacing w:line="320" w:lineRule="exact"/>
              <w:jc w:val="center"/>
              <w:rPr>
                <w:rFonts w:ascii="宋体" w:hAnsi="宋体" w:cs="宋体"/>
                <w:color w:val="auto"/>
                <w:kern w:val="0"/>
                <w:szCs w:val="21"/>
                <w:highlight w:val="none"/>
              </w:rPr>
            </w:pPr>
          </w:p>
          <w:p w14:paraId="058DE20D">
            <w:pPr>
              <w:snapToGrid w:val="0"/>
              <w:spacing w:line="320" w:lineRule="exact"/>
              <w:jc w:val="center"/>
              <w:rPr>
                <w:rFonts w:ascii="宋体" w:hAnsi="宋体" w:cs="宋体"/>
                <w:color w:val="auto"/>
                <w:kern w:val="0"/>
                <w:szCs w:val="21"/>
                <w:highlight w:val="none"/>
              </w:rPr>
            </w:pPr>
          </w:p>
          <w:p w14:paraId="6BA9BF28">
            <w:pPr>
              <w:snapToGrid w:val="0"/>
              <w:spacing w:line="320" w:lineRule="exact"/>
              <w:jc w:val="center"/>
              <w:rPr>
                <w:rFonts w:ascii="宋体" w:hAnsi="宋体" w:cs="宋体"/>
                <w:color w:val="auto"/>
                <w:kern w:val="0"/>
                <w:szCs w:val="21"/>
                <w:highlight w:val="none"/>
              </w:rPr>
            </w:pPr>
          </w:p>
          <w:p w14:paraId="656AD736">
            <w:pPr>
              <w:snapToGrid w:val="0"/>
              <w:spacing w:line="320" w:lineRule="exact"/>
              <w:jc w:val="center"/>
              <w:rPr>
                <w:rFonts w:ascii="宋体" w:hAnsi="宋体" w:cs="宋体"/>
                <w:color w:val="auto"/>
                <w:kern w:val="0"/>
                <w:szCs w:val="21"/>
                <w:highlight w:val="none"/>
              </w:rPr>
            </w:pPr>
          </w:p>
          <w:p w14:paraId="4BA26530">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p w14:paraId="5801FE2C">
            <w:pPr>
              <w:snapToGrid w:val="0"/>
              <w:spacing w:line="320" w:lineRule="exact"/>
              <w:jc w:val="center"/>
              <w:rPr>
                <w:rFonts w:ascii="宋体" w:hAnsi="宋体" w:cs="宋体"/>
                <w:color w:val="auto"/>
                <w:kern w:val="0"/>
                <w:szCs w:val="21"/>
                <w:highlight w:val="none"/>
              </w:rPr>
            </w:pPr>
          </w:p>
          <w:p w14:paraId="1576621D">
            <w:pPr>
              <w:snapToGrid w:val="0"/>
              <w:spacing w:line="320" w:lineRule="exact"/>
              <w:jc w:val="center"/>
              <w:rPr>
                <w:rFonts w:ascii="宋体" w:hAnsi="宋体" w:cs="宋体"/>
                <w:color w:val="auto"/>
                <w:kern w:val="0"/>
                <w:szCs w:val="21"/>
                <w:highlight w:val="none"/>
              </w:rPr>
            </w:pPr>
          </w:p>
          <w:p w14:paraId="01FB1B9A">
            <w:pPr>
              <w:snapToGrid w:val="0"/>
              <w:spacing w:line="320" w:lineRule="exact"/>
              <w:jc w:val="center"/>
              <w:rPr>
                <w:rFonts w:ascii="宋体" w:hAnsi="宋体" w:cs="宋体"/>
                <w:color w:val="auto"/>
                <w:kern w:val="0"/>
                <w:szCs w:val="21"/>
                <w:highlight w:val="none"/>
              </w:rPr>
            </w:pPr>
          </w:p>
          <w:p w14:paraId="2AF0CDD4">
            <w:pPr>
              <w:snapToGrid w:val="0"/>
              <w:spacing w:line="320" w:lineRule="exact"/>
              <w:jc w:val="center"/>
              <w:rPr>
                <w:rFonts w:ascii="宋体" w:hAnsi="宋体" w:cs="宋体"/>
                <w:color w:val="auto"/>
                <w:kern w:val="0"/>
                <w:szCs w:val="21"/>
                <w:highlight w:val="none"/>
              </w:rPr>
            </w:pPr>
          </w:p>
          <w:p w14:paraId="0E95DCA1">
            <w:pPr>
              <w:snapToGrid w:val="0"/>
              <w:spacing w:line="320" w:lineRule="exact"/>
              <w:jc w:val="center"/>
              <w:rPr>
                <w:rFonts w:ascii="宋体" w:hAnsi="宋体" w:cs="宋体"/>
                <w:color w:val="auto"/>
                <w:kern w:val="0"/>
                <w:szCs w:val="21"/>
                <w:highlight w:val="none"/>
              </w:rPr>
            </w:pPr>
          </w:p>
          <w:p w14:paraId="495DCF5C">
            <w:pPr>
              <w:snapToGrid w:val="0"/>
              <w:spacing w:line="320" w:lineRule="exact"/>
              <w:jc w:val="center"/>
              <w:rPr>
                <w:rFonts w:ascii="宋体" w:hAnsi="宋体" w:cs="宋体"/>
                <w:color w:val="auto"/>
                <w:kern w:val="0"/>
                <w:szCs w:val="21"/>
                <w:highlight w:val="none"/>
              </w:rPr>
            </w:pPr>
          </w:p>
          <w:p w14:paraId="4D2ACB7D">
            <w:pPr>
              <w:snapToGrid w:val="0"/>
              <w:spacing w:line="320" w:lineRule="exact"/>
              <w:jc w:val="center"/>
              <w:rPr>
                <w:rFonts w:ascii="宋体" w:hAnsi="宋体" w:cs="宋体"/>
                <w:color w:val="auto"/>
                <w:kern w:val="0"/>
                <w:szCs w:val="21"/>
                <w:highlight w:val="none"/>
              </w:rPr>
            </w:pPr>
          </w:p>
          <w:p w14:paraId="066D1549">
            <w:pPr>
              <w:snapToGrid w:val="0"/>
              <w:spacing w:line="320" w:lineRule="exact"/>
              <w:jc w:val="center"/>
              <w:rPr>
                <w:rFonts w:ascii="宋体" w:hAnsi="宋体" w:cs="宋体"/>
                <w:color w:val="auto"/>
                <w:kern w:val="0"/>
                <w:szCs w:val="21"/>
                <w:highlight w:val="none"/>
              </w:rPr>
            </w:pPr>
          </w:p>
          <w:p w14:paraId="577588B9">
            <w:pPr>
              <w:snapToGrid w:val="0"/>
              <w:spacing w:line="320" w:lineRule="exact"/>
              <w:jc w:val="center"/>
              <w:rPr>
                <w:rFonts w:ascii="宋体" w:hAnsi="宋体" w:cs="宋体"/>
                <w:color w:val="auto"/>
                <w:kern w:val="0"/>
                <w:szCs w:val="21"/>
                <w:highlight w:val="none"/>
              </w:rPr>
            </w:pPr>
          </w:p>
          <w:p w14:paraId="394B0572">
            <w:pPr>
              <w:snapToGrid w:val="0"/>
              <w:spacing w:line="320" w:lineRule="exact"/>
              <w:jc w:val="center"/>
              <w:rPr>
                <w:rFonts w:ascii="宋体" w:hAnsi="宋体" w:cs="宋体"/>
                <w:color w:val="auto"/>
                <w:kern w:val="0"/>
                <w:szCs w:val="21"/>
                <w:highlight w:val="none"/>
              </w:rPr>
            </w:pPr>
          </w:p>
          <w:p w14:paraId="485D6D3F">
            <w:pPr>
              <w:snapToGrid w:val="0"/>
              <w:spacing w:line="320" w:lineRule="exact"/>
              <w:jc w:val="center"/>
              <w:rPr>
                <w:rFonts w:ascii="宋体" w:hAnsi="宋体" w:cs="宋体"/>
                <w:color w:val="auto"/>
                <w:kern w:val="0"/>
                <w:szCs w:val="21"/>
                <w:highlight w:val="none"/>
              </w:rPr>
            </w:pPr>
          </w:p>
          <w:p w14:paraId="77370B2F">
            <w:pPr>
              <w:snapToGrid w:val="0"/>
              <w:spacing w:line="320" w:lineRule="exact"/>
              <w:jc w:val="center"/>
              <w:rPr>
                <w:rFonts w:ascii="宋体" w:hAnsi="宋体" w:cs="宋体"/>
                <w:color w:val="auto"/>
                <w:kern w:val="0"/>
                <w:szCs w:val="21"/>
                <w:highlight w:val="none"/>
              </w:rPr>
            </w:pPr>
          </w:p>
          <w:p w14:paraId="2D6764B7">
            <w:pPr>
              <w:snapToGrid w:val="0"/>
              <w:spacing w:line="320" w:lineRule="exact"/>
              <w:jc w:val="center"/>
              <w:rPr>
                <w:rFonts w:ascii="宋体" w:hAnsi="宋体" w:cs="宋体"/>
                <w:color w:val="auto"/>
                <w:kern w:val="0"/>
                <w:szCs w:val="21"/>
                <w:highlight w:val="none"/>
              </w:rPr>
            </w:pPr>
          </w:p>
          <w:p w14:paraId="2F26D1A0">
            <w:pPr>
              <w:snapToGrid w:val="0"/>
              <w:spacing w:line="320" w:lineRule="exact"/>
              <w:jc w:val="center"/>
              <w:rPr>
                <w:rFonts w:ascii="宋体" w:hAnsi="宋体" w:cs="宋体"/>
                <w:color w:val="auto"/>
                <w:kern w:val="0"/>
                <w:szCs w:val="21"/>
                <w:highlight w:val="none"/>
              </w:rPr>
            </w:pPr>
          </w:p>
          <w:p w14:paraId="32B02B02">
            <w:pPr>
              <w:snapToGrid w:val="0"/>
              <w:spacing w:line="320" w:lineRule="exact"/>
              <w:jc w:val="center"/>
              <w:rPr>
                <w:rFonts w:ascii="宋体" w:hAnsi="宋体" w:cs="宋体"/>
                <w:color w:val="auto"/>
                <w:kern w:val="0"/>
                <w:szCs w:val="21"/>
                <w:highlight w:val="none"/>
              </w:rPr>
            </w:pPr>
          </w:p>
          <w:p w14:paraId="7300BEFE">
            <w:pPr>
              <w:snapToGrid w:val="0"/>
              <w:spacing w:line="320" w:lineRule="exact"/>
              <w:jc w:val="center"/>
              <w:rPr>
                <w:rFonts w:ascii="宋体" w:hAnsi="宋体" w:cs="宋体"/>
                <w:color w:val="auto"/>
                <w:kern w:val="0"/>
                <w:szCs w:val="21"/>
                <w:highlight w:val="none"/>
              </w:rPr>
            </w:pPr>
          </w:p>
          <w:p w14:paraId="6A31B690">
            <w:pPr>
              <w:snapToGrid w:val="0"/>
              <w:spacing w:line="320" w:lineRule="exact"/>
              <w:jc w:val="center"/>
              <w:rPr>
                <w:rFonts w:ascii="宋体" w:hAnsi="宋体" w:cs="宋体"/>
                <w:color w:val="auto"/>
                <w:kern w:val="0"/>
                <w:szCs w:val="21"/>
                <w:highlight w:val="none"/>
              </w:rPr>
            </w:pPr>
          </w:p>
          <w:p w14:paraId="7DD066BE">
            <w:pPr>
              <w:snapToGrid w:val="0"/>
              <w:spacing w:line="320" w:lineRule="exact"/>
              <w:jc w:val="center"/>
              <w:rPr>
                <w:rFonts w:ascii="宋体" w:hAnsi="宋体" w:cs="宋体"/>
                <w:color w:val="auto"/>
                <w:kern w:val="0"/>
                <w:szCs w:val="21"/>
                <w:highlight w:val="none"/>
              </w:rPr>
            </w:pPr>
          </w:p>
          <w:p w14:paraId="47A1DD74">
            <w:pPr>
              <w:snapToGrid w:val="0"/>
              <w:spacing w:line="320" w:lineRule="exact"/>
              <w:jc w:val="center"/>
              <w:rPr>
                <w:rFonts w:ascii="宋体" w:hAnsi="宋体" w:cs="宋体"/>
                <w:color w:val="auto"/>
                <w:kern w:val="0"/>
                <w:szCs w:val="21"/>
                <w:highlight w:val="none"/>
              </w:rPr>
            </w:pPr>
          </w:p>
          <w:p w14:paraId="10367E40">
            <w:pPr>
              <w:snapToGrid w:val="0"/>
              <w:spacing w:line="320" w:lineRule="exact"/>
              <w:jc w:val="center"/>
              <w:rPr>
                <w:rFonts w:ascii="宋体" w:hAnsi="宋体" w:cs="宋体"/>
                <w:color w:val="auto"/>
                <w:kern w:val="0"/>
                <w:szCs w:val="21"/>
                <w:highlight w:val="none"/>
              </w:rPr>
            </w:pPr>
          </w:p>
          <w:p w14:paraId="0E602D9C">
            <w:pPr>
              <w:snapToGrid w:val="0"/>
              <w:spacing w:line="320" w:lineRule="exact"/>
              <w:jc w:val="center"/>
              <w:rPr>
                <w:rFonts w:ascii="宋体" w:hAnsi="宋体" w:cs="宋体"/>
                <w:color w:val="auto"/>
                <w:kern w:val="0"/>
                <w:szCs w:val="21"/>
                <w:highlight w:val="none"/>
              </w:rPr>
            </w:pPr>
          </w:p>
          <w:p w14:paraId="074A56C6">
            <w:pPr>
              <w:snapToGrid w:val="0"/>
              <w:spacing w:line="320" w:lineRule="exact"/>
              <w:jc w:val="center"/>
              <w:rPr>
                <w:rFonts w:ascii="宋体" w:hAnsi="宋体" w:cs="宋体"/>
                <w:color w:val="auto"/>
                <w:kern w:val="0"/>
                <w:szCs w:val="21"/>
                <w:highlight w:val="none"/>
              </w:rPr>
            </w:pPr>
          </w:p>
          <w:p w14:paraId="14996871">
            <w:pPr>
              <w:snapToGrid w:val="0"/>
              <w:spacing w:line="320" w:lineRule="exact"/>
              <w:jc w:val="center"/>
              <w:rPr>
                <w:rFonts w:ascii="宋体" w:hAnsi="宋体" w:cs="宋体"/>
                <w:color w:val="auto"/>
                <w:kern w:val="0"/>
                <w:szCs w:val="21"/>
                <w:highlight w:val="none"/>
              </w:rPr>
            </w:pPr>
          </w:p>
          <w:p w14:paraId="34E12B41">
            <w:pPr>
              <w:snapToGrid w:val="0"/>
              <w:spacing w:line="320" w:lineRule="exact"/>
              <w:jc w:val="center"/>
              <w:rPr>
                <w:rFonts w:ascii="宋体" w:hAnsi="宋体" w:cs="宋体"/>
                <w:color w:val="auto"/>
                <w:kern w:val="0"/>
                <w:szCs w:val="21"/>
                <w:highlight w:val="none"/>
              </w:rPr>
            </w:pPr>
          </w:p>
          <w:p w14:paraId="78667FD3">
            <w:pPr>
              <w:snapToGrid w:val="0"/>
              <w:spacing w:line="320" w:lineRule="exact"/>
              <w:jc w:val="center"/>
              <w:rPr>
                <w:rFonts w:ascii="宋体" w:hAnsi="宋体" w:cs="宋体"/>
                <w:color w:val="auto"/>
                <w:kern w:val="0"/>
                <w:szCs w:val="21"/>
                <w:highlight w:val="none"/>
              </w:rPr>
            </w:pPr>
          </w:p>
          <w:p w14:paraId="2A51A1A2">
            <w:pPr>
              <w:snapToGrid w:val="0"/>
              <w:spacing w:line="320" w:lineRule="exact"/>
              <w:jc w:val="center"/>
              <w:rPr>
                <w:rFonts w:ascii="宋体" w:hAnsi="宋体" w:cs="宋体"/>
                <w:color w:val="auto"/>
                <w:kern w:val="0"/>
                <w:szCs w:val="21"/>
                <w:highlight w:val="none"/>
              </w:rPr>
            </w:pPr>
          </w:p>
          <w:p w14:paraId="2922E72B">
            <w:pPr>
              <w:snapToGrid w:val="0"/>
              <w:spacing w:line="320" w:lineRule="exact"/>
              <w:jc w:val="center"/>
              <w:rPr>
                <w:rFonts w:ascii="宋体" w:hAnsi="宋体" w:cs="宋体"/>
                <w:color w:val="auto"/>
                <w:kern w:val="0"/>
                <w:szCs w:val="21"/>
                <w:highlight w:val="none"/>
              </w:rPr>
            </w:pPr>
          </w:p>
          <w:p w14:paraId="1CC7A0A7">
            <w:pPr>
              <w:snapToGrid w:val="0"/>
              <w:spacing w:line="320" w:lineRule="exact"/>
              <w:jc w:val="center"/>
              <w:rPr>
                <w:rFonts w:ascii="宋体" w:hAnsi="宋体" w:cs="宋体"/>
                <w:color w:val="auto"/>
                <w:kern w:val="0"/>
                <w:szCs w:val="21"/>
                <w:highlight w:val="none"/>
              </w:rPr>
            </w:pPr>
          </w:p>
          <w:p w14:paraId="6B2F6E1C">
            <w:pPr>
              <w:snapToGrid w:val="0"/>
              <w:spacing w:line="320" w:lineRule="exact"/>
              <w:jc w:val="center"/>
              <w:rPr>
                <w:rFonts w:ascii="宋体" w:hAnsi="宋体" w:cs="宋体"/>
                <w:color w:val="auto"/>
                <w:kern w:val="0"/>
                <w:szCs w:val="21"/>
                <w:highlight w:val="none"/>
              </w:rPr>
            </w:pPr>
          </w:p>
          <w:p w14:paraId="2C43AF24">
            <w:pPr>
              <w:snapToGrid w:val="0"/>
              <w:spacing w:line="320" w:lineRule="exact"/>
              <w:jc w:val="center"/>
              <w:rPr>
                <w:rFonts w:ascii="宋体" w:hAnsi="宋体" w:cs="宋体"/>
                <w:color w:val="auto"/>
                <w:kern w:val="0"/>
                <w:szCs w:val="21"/>
                <w:highlight w:val="none"/>
              </w:rPr>
            </w:pPr>
          </w:p>
          <w:p w14:paraId="7E73632E">
            <w:pPr>
              <w:snapToGrid w:val="0"/>
              <w:spacing w:line="320" w:lineRule="exact"/>
              <w:jc w:val="center"/>
              <w:rPr>
                <w:rFonts w:ascii="宋体" w:hAnsi="宋体" w:cs="宋体"/>
                <w:color w:val="auto"/>
                <w:kern w:val="0"/>
                <w:szCs w:val="21"/>
                <w:highlight w:val="none"/>
              </w:rPr>
            </w:pPr>
          </w:p>
          <w:p w14:paraId="680732E8">
            <w:pPr>
              <w:snapToGrid w:val="0"/>
              <w:spacing w:line="320" w:lineRule="exact"/>
              <w:jc w:val="center"/>
              <w:rPr>
                <w:rFonts w:ascii="宋体" w:hAnsi="宋体" w:cs="宋体"/>
                <w:color w:val="auto"/>
                <w:kern w:val="0"/>
                <w:szCs w:val="21"/>
                <w:highlight w:val="none"/>
              </w:rPr>
            </w:pPr>
          </w:p>
          <w:p w14:paraId="15D15ADA">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p w14:paraId="531CDC8A">
            <w:pPr>
              <w:snapToGrid w:val="0"/>
              <w:spacing w:line="320" w:lineRule="exact"/>
              <w:jc w:val="center"/>
              <w:rPr>
                <w:rFonts w:ascii="宋体" w:hAnsi="宋体" w:cs="宋体"/>
                <w:color w:val="auto"/>
                <w:kern w:val="0"/>
                <w:szCs w:val="21"/>
                <w:highlight w:val="none"/>
              </w:rPr>
            </w:pPr>
          </w:p>
          <w:p w14:paraId="2E59C03D">
            <w:pPr>
              <w:snapToGrid w:val="0"/>
              <w:spacing w:line="320" w:lineRule="exact"/>
              <w:jc w:val="center"/>
              <w:rPr>
                <w:rFonts w:ascii="宋体" w:hAnsi="宋体" w:cs="宋体"/>
                <w:color w:val="auto"/>
                <w:kern w:val="0"/>
                <w:szCs w:val="21"/>
                <w:highlight w:val="none"/>
              </w:rPr>
            </w:pPr>
          </w:p>
          <w:p w14:paraId="11E9151C">
            <w:pPr>
              <w:snapToGrid w:val="0"/>
              <w:spacing w:line="320" w:lineRule="exact"/>
              <w:jc w:val="center"/>
              <w:rPr>
                <w:rFonts w:ascii="宋体" w:hAnsi="宋体" w:cs="宋体"/>
                <w:color w:val="auto"/>
                <w:kern w:val="0"/>
                <w:szCs w:val="21"/>
                <w:highlight w:val="none"/>
              </w:rPr>
            </w:pPr>
          </w:p>
          <w:p w14:paraId="37D4F5A7">
            <w:pPr>
              <w:snapToGrid w:val="0"/>
              <w:spacing w:line="320" w:lineRule="exact"/>
              <w:jc w:val="center"/>
              <w:rPr>
                <w:rFonts w:ascii="宋体" w:hAnsi="宋体" w:cs="宋体"/>
                <w:color w:val="auto"/>
                <w:kern w:val="0"/>
                <w:szCs w:val="21"/>
                <w:highlight w:val="none"/>
              </w:rPr>
            </w:pPr>
          </w:p>
          <w:p w14:paraId="0EE2FDDC">
            <w:pPr>
              <w:snapToGrid w:val="0"/>
              <w:spacing w:line="320" w:lineRule="exact"/>
              <w:jc w:val="center"/>
              <w:rPr>
                <w:rFonts w:ascii="宋体" w:hAnsi="宋体" w:cs="宋体"/>
                <w:color w:val="auto"/>
                <w:kern w:val="0"/>
                <w:szCs w:val="21"/>
                <w:highlight w:val="none"/>
              </w:rPr>
            </w:pPr>
          </w:p>
          <w:p w14:paraId="3CAAD7FC">
            <w:pPr>
              <w:snapToGrid w:val="0"/>
              <w:spacing w:line="320" w:lineRule="exact"/>
              <w:jc w:val="center"/>
              <w:rPr>
                <w:rFonts w:ascii="宋体" w:hAnsi="宋体" w:cs="宋体"/>
                <w:color w:val="auto"/>
                <w:kern w:val="0"/>
                <w:szCs w:val="21"/>
                <w:highlight w:val="none"/>
              </w:rPr>
            </w:pPr>
          </w:p>
          <w:p w14:paraId="6A968E42">
            <w:pPr>
              <w:snapToGrid w:val="0"/>
              <w:spacing w:line="320" w:lineRule="exact"/>
              <w:jc w:val="center"/>
              <w:rPr>
                <w:rFonts w:ascii="宋体" w:hAnsi="宋体" w:cs="宋体"/>
                <w:color w:val="auto"/>
                <w:kern w:val="0"/>
                <w:szCs w:val="21"/>
                <w:highlight w:val="none"/>
              </w:rPr>
            </w:pPr>
          </w:p>
          <w:p w14:paraId="4BF19CE2">
            <w:pPr>
              <w:snapToGrid w:val="0"/>
              <w:spacing w:line="320" w:lineRule="exact"/>
              <w:jc w:val="center"/>
              <w:rPr>
                <w:rFonts w:ascii="宋体" w:hAnsi="宋体" w:cs="宋体"/>
                <w:color w:val="auto"/>
                <w:kern w:val="0"/>
                <w:szCs w:val="21"/>
                <w:highlight w:val="none"/>
              </w:rPr>
            </w:pPr>
          </w:p>
          <w:p w14:paraId="22297042">
            <w:pPr>
              <w:snapToGrid w:val="0"/>
              <w:spacing w:line="320" w:lineRule="exact"/>
              <w:jc w:val="center"/>
              <w:rPr>
                <w:rFonts w:ascii="宋体" w:hAnsi="宋体" w:cs="宋体"/>
                <w:color w:val="auto"/>
                <w:kern w:val="0"/>
                <w:szCs w:val="21"/>
                <w:highlight w:val="none"/>
              </w:rPr>
            </w:pPr>
          </w:p>
          <w:p w14:paraId="0D865C67">
            <w:pPr>
              <w:snapToGrid w:val="0"/>
              <w:spacing w:line="320" w:lineRule="exact"/>
              <w:jc w:val="center"/>
              <w:rPr>
                <w:rFonts w:ascii="宋体" w:hAnsi="宋体" w:cs="宋体"/>
                <w:color w:val="auto"/>
                <w:kern w:val="0"/>
                <w:szCs w:val="21"/>
                <w:highlight w:val="none"/>
              </w:rPr>
            </w:pPr>
          </w:p>
          <w:p w14:paraId="573B2E71">
            <w:pPr>
              <w:snapToGrid w:val="0"/>
              <w:spacing w:line="320" w:lineRule="exact"/>
              <w:jc w:val="center"/>
              <w:rPr>
                <w:rFonts w:ascii="宋体" w:hAnsi="宋体" w:cs="宋体"/>
                <w:color w:val="auto"/>
                <w:kern w:val="0"/>
                <w:szCs w:val="21"/>
                <w:highlight w:val="none"/>
              </w:rPr>
            </w:pPr>
          </w:p>
          <w:p w14:paraId="488C550C">
            <w:pPr>
              <w:snapToGrid w:val="0"/>
              <w:spacing w:line="320" w:lineRule="exact"/>
              <w:jc w:val="center"/>
              <w:rPr>
                <w:rFonts w:ascii="宋体" w:hAnsi="宋体" w:cs="宋体"/>
                <w:color w:val="auto"/>
                <w:kern w:val="0"/>
                <w:szCs w:val="21"/>
                <w:highlight w:val="none"/>
              </w:rPr>
            </w:pPr>
          </w:p>
          <w:p w14:paraId="75A5D6A8">
            <w:pPr>
              <w:snapToGrid w:val="0"/>
              <w:spacing w:line="320" w:lineRule="exact"/>
              <w:jc w:val="center"/>
              <w:rPr>
                <w:rFonts w:ascii="宋体" w:hAnsi="宋体" w:cs="宋体"/>
                <w:color w:val="auto"/>
                <w:kern w:val="0"/>
                <w:szCs w:val="21"/>
                <w:highlight w:val="none"/>
              </w:rPr>
            </w:pPr>
          </w:p>
          <w:p w14:paraId="56FE6B05">
            <w:pPr>
              <w:snapToGrid w:val="0"/>
              <w:spacing w:line="320" w:lineRule="exact"/>
              <w:jc w:val="center"/>
              <w:rPr>
                <w:rFonts w:ascii="宋体" w:hAnsi="宋体" w:cs="宋体"/>
                <w:color w:val="auto"/>
                <w:kern w:val="0"/>
                <w:szCs w:val="21"/>
                <w:highlight w:val="none"/>
              </w:rPr>
            </w:pPr>
          </w:p>
          <w:p w14:paraId="52B1CC65">
            <w:pPr>
              <w:snapToGrid w:val="0"/>
              <w:spacing w:line="320" w:lineRule="exact"/>
              <w:jc w:val="center"/>
              <w:rPr>
                <w:rFonts w:ascii="宋体" w:hAnsi="宋体" w:cs="宋体"/>
                <w:color w:val="auto"/>
                <w:kern w:val="0"/>
                <w:szCs w:val="21"/>
                <w:highlight w:val="none"/>
              </w:rPr>
            </w:pPr>
          </w:p>
          <w:p w14:paraId="2CAE26D4">
            <w:pPr>
              <w:snapToGrid w:val="0"/>
              <w:spacing w:line="320" w:lineRule="exact"/>
              <w:jc w:val="center"/>
              <w:rPr>
                <w:rFonts w:ascii="宋体" w:hAnsi="宋体" w:cs="宋体"/>
                <w:color w:val="auto"/>
                <w:kern w:val="0"/>
                <w:szCs w:val="21"/>
                <w:highlight w:val="none"/>
              </w:rPr>
            </w:pPr>
          </w:p>
          <w:p w14:paraId="7A22092C">
            <w:pPr>
              <w:snapToGrid w:val="0"/>
              <w:spacing w:line="320" w:lineRule="exact"/>
              <w:jc w:val="center"/>
              <w:rPr>
                <w:rFonts w:ascii="宋体" w:hAnsi="宋体" w:cs="宋体"/>
                <w:color w:val="auto"/>
                <w:kern w:val="0"/>
                <w:szCs w:val="21"/>
                <w:highlight w:val="none"/>
              </w:rPr>
            </w:pPr>
          </w:p>
          <w:p w14:paraId="09AC081A">
            <w:pPr>
              <w:snapToGrid w:val="0"/>
              <w:spacing w:line="320" w:lineRule="exact"/>
              <w:jc w:val="center"/>
              <w:rPr>
                <w:rFonts w:ascii="宋体" w:hAnsi="宋体" w:cs="宋体"/>
                <w:color w:val="auto"/>
                <w:kern w:val="0"/>
                <w:szCs w:val="21"/>
                <w:highlight w:val="none"/>
              </w:rPr>
            </w:pPr>
          </w:p>
          <w:p w14:paraId="496B80DA">
            <w:pPr>
              <w:snapToGrid w:val="0"/>
              <w:spacing w:line="320" w:lineRule="exact"/>
              <w:jc w:val="center"/>
              <w:rPr>
                <w:rFonts w:ascii="宋体" w:hAnsi="宋体" w:cs="宋体"/>
                <w:color w:val="auto"/>
                <w:kern w:val="0"/>
                <w:szCs w:val="21"/>
                <w:highlight w:val="none"/>
              </w:rPr>
            </w:pPr>
          </w:p>
          <w:p w14:paraId="61D7CD10">
            <w:pPr>
              <w:snapToGrid w:val="0"/>
              <w:spacing w:line="320" w:lineRule="exact"/>
              <w:jc w:val="center"/>
              <w:rPr>
                <w:rFonts w:ascii="宋体" w:hAnsi="宋体" w:cs="宋体"/>
                <w:color w:val="auto"/>
                <w:kern w:val="0"/>
                <w:szCs w:val="21"/>
                <w:highlight w:val="none"/>
              </w:rPr>
            </w:pPr>
          </w:p>
          <w:p w14:paraId="5ADB9E2E">
            <w:pPr>
              <w:snapToGrid w:val="0"/>
              <w:spacing w:line="320" w:lineRule="exact"/>
              <w:jc w:val="center"/>
              <w:rPr>
                <w:rFonts w:ascii="宋体" w:hAnsi="宋体" w:cs="宋体"/>
                <w:color w:val="auto"/>
                <w:kern w:val="0"/>
                <w:szCs w:val="21"/>
                <w:highlight w:val="none"/>
              </w:rPr>
            </w:pPr>
          </w:p>
          <w:p w14:paraId="1AF935D8">
            <w:pPr>
              <w:snapToGrid w:val="0"/>
              <w:spacing w:line="320" w:lineRule="exact"/>
              <w:jc w:val="center"/>
              <w:rPr>
                <w:rFonts w:ascii="宋体" w:hAnsi="宋体" w:cs="宋体"/>
                <w:color w:val="auto"/>
                <w:kern w:val="0"/>
                <w:szCs w:val="21"/>
                <w:highlight w:val="none"/>
              </w:rPr>
            </w:pPr>
          </w:p>
          <w:p w14:paraId="774CFD89">
            <w:pPr>
              <w:snapToGrid w:val="0"/>
              <w:spacing w:line="320" w:lineRule="exact"/>
              <w:jc w:val="center"/>
              <w:rPr>
                <w:rFonts w:ascii="宋体" w:hAnsi="宋体" w:cs="宋体"/>
                <w:color w:val="auto"/>
                <w:kern w:val="0"/>
                <w:szCs w:val="21"/>
                <w:highlight w:val="none"/>
              </w:rPr>
            </w:pPr>
          </w:p>
          <w:p w14:paraId="2ACD90B7">
            <w:pPr>
              <w:snapToGrid w:val="0"/>
              <w:spacing w:line="320" w:lineRule="exact"/>
              <w:jc w:val="center"/>
              <w:rPr>
                <w:rFonts w:ascii="宋体" w:hAnsi="宋体" w:cs="宋体"/>
                <w:color w:val="auto"/>
                <w:kern w:val="0"/>
                <w:szCs w:val="21"/>
                <w:highlight w:val="none"/>
              </w:rPr>
            </w:pPr>
          </w:p>
          <w:p w14:paraId="3A80A17F">
            <w:pPr>
              <w:snapToGrid w:val="0"/>
              <w:spacing w:line="320" w:lineRule="exact"/>
              <w:jc w:val="center"/>
              <w:rPr>
                <w:rFonts w:ascii="宋体" w:hAnsi="宋体" w:cs="宋体"/>
                <w:color w:val="auto"/>
                <w:kern w:val="0"/>
                <w:szCs w:val="21"/>
                <w:highlight w:val="none"/>
              </w:rPr>
            </w:pPr>
          </w:p>
        </w:tc>
        <w:tc>
          <w:tcPr>
            <w:tcW w:w="7189" w:type="dxa"/>
            <w:vAlign w:val="center"/>
          </w:tcPr>
          <w:p w14:paraId="31553F2F">
            <w:pPr>
              <w:pStyle w:val="2"/>
              <w:tabs>
                <w:tab w:val="left" w:pos="546"/>
                <w:tab w:val="left" w:pos="711"/>
              </w:tabs>
              <w:snapToGrid w:val="0"/>
              <w:spacing w:after="0" w:line="400" w:lineRule="exact"/>
              <w:ind w:firstLine="420" w:firstLineChars="200"/>
              <w:rPr>
                <w:highlight w:val="none"/>
              </w:rPr>
            </w:pPr>
            <w:r>
              <w:rPr>
                <w:highlight w:val="none"/>
              </w:rPr>
              <w:t>1.</w:t>
            </w:r>
            <w:r>
              <w:rPr>
                <w:rFonts w:hint="eastAsia"/>
                <w:highlight w:val="none"/>
              </w:rPr>
              <w:t>使用国有资金投资的建设工程发承包，必须采用工程量清单计价。工程量清单应采用综合单价计价。</w:t>
            </w:r>
          </w:p>
          <w:p w14:paraId="0BBDB22C">
            <w:pPr>
              <w:pStyle w:val="2"/>
              <w:tabs>
                <w:tab w:val="left" w:pos="546"/>
                <w:tab w:val="left" w:pos="711"/>
              </w:tabs>
              <w:snapToGrid w:val="0"/>
              <w:spacing w:after="0" w:line="400" w:lineRule="exact"/>
              <w:ind w:left="6" w:leftChars="3" w:firstLine="420" w:firstLineChars="200"/>
              <w:rPr>
                <w:highlight w:val="none"/>
              </w:rPr>
            </w:pPr>
            <w:r>
              <w:rPr>
                <w:highlight w:val="none"/>
              </w:rPr>
              <w:t>2.</w:t>
            </w:r>
            <w:r>
              <w:rPr>
                <w:rFonts w:hint="eastAsia"/>
                <w:highlight w:val="none"/>
              </w:rPr>
              <w:t>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w:t>
            </w:r>
            <w:r>
              <w:rPr>
                <w:rFonts w:hint="eastAsia"/>
                <w:highlight w:val="none"/>
                <w:lang w:eastAsia="zh-CN"/>
              </w:rPr>
              <w:t>竞争性比选</w:t>
            </w:r>
            <w:r>
              <w:rPr>
                <w:rFonts w:hint="eastAsia"/>
                <w:highlight w:val="none"/>
              </w:rPr>
              <w:t>范围内的全部工程的投标报价，并以投标人在工程量清单中提出的单价或总价为依据。</w:t>
            </w:r>
          </w:p>
          <w:p w14:paraId="58BD3448">
            <w:pPr>
              <w:tabs>
                <w:tab w:val="left" w:pos="546"/>
                <w:tab w:val="left" w:pos="711"/>
              </w:tabs>
              <w:snapToGrid w:val="0"/>
              <w:spacing w:line="400" w:lineRule="exact"/>
              <w:ind w:left="6" w:leftChars="3" w:firstLine="420" w:firstLineChars="200"/>
              <w:rPr>
                <w:highlight w:val="none"/>
              </w:rPr>
            </w:pPr>
            <w:r>
              <w:rPr>
                <w:highlight w:val="none"/>
              </w:rPr>
              <w:t>3.</w:t>
            </w:r>
            <w:r>
              <w:rPr>
                <w:rFonts w:hint="eastAsia"/>
                <w:highlight w:val="none"/>
              </w:rPr>
              <w:t>投标人应认真填写工程量清单中所列的本合同各工程子目的单价或总价。投标人没有填入单价或总价的工程子目，</w:t>
            </w:r>
            <w:r>
              <w:rPr>
                <w:rFonts w:hint="eastAsia"/>
                <w:highlight w:val="none"/>
                <w:lang w:eastAsia="zh-CN"/>
              </w:rPr>
              <w:t>比选人</w:t>
            </w:r>
            <w:r>
              <w:rPr>
                <w:rFonts w:hint="eastAsia"/>
                <w:highlight w:val="none"/>
              </w:rPr>
              <w:t>将认为该子目的价款已包括在工程量清单其他子目的单价和总价中。投标人必须按</w:t>
            </w:r>
            <w:r>
              <w:rPr>
                <w:rFonts w:hint="eastAsia"/>
                <w:highlight w:val="none"/>
                <w:lang w:eastAsia="zh-CN"/>
              </w:rPr>
              <w:t>竞争性比选</w:t>
            </w:r>
            <w:r>
              <w:rPr>
                <w:rFonts w:hint="eastAsia"/>
                <w:highlight w:val="none"/>
              </w:rPr>
              <w:t>工程量清单填报价格。项目编码、项目名称、项目特征、计量单位、工程量必须与</w:t>
            </w:r>
            <w:r>
              <w:rPr>
                <w:rFonts w:hint="eastAsia"/>
                <w:highlight w:val="none"/>
                <w:lang w:eastAsia="zh-CN"/>
              </w:rPr>
              <w:t>竞争性比选</w:t>
            </w:r>
            <w:r>
              <w:rPr>
                <w:rFonts w:hint="eastAsia"/>
                <w:highlight w:val="none"/>
              </w:rPr>
              <w:t>工程量清单一致。</w:t>
            </w:r>
          </w:p>
          <w:p w14:paraId="0D3841B1">
            <w:pPr>
              <w:tabs>
                <w:tab w:val="left" w:pos="546"/>
                <w:tab w:val="left" w:pos="711"/>
              </w:tabs>
              <w:snapToGrid w:val="0"/>
              <w:spacing w:line="400" w:lineRule="exact"/>
              <w:ind w:left="6" w:leftChars="3" w:firstLine="420" w:firstLineChars="200"/>
              <w:rPr>
                <w:highlight w:val="none"/>
              </w:rPr>
            </w:pPr>
            <w:r>
              <w:rPr>
                <w:highlight w:val="none"/>
              </w:rPr>
              <w:t>4.</w:t>
            </w:r>
            <w:r>
              <w:rPr>
                <w:rFonts w:hint="eastAsia"/>
                <w:highlight w:val="none"/>
              </w:rPr>
              <w:t>投标函中的总报价必须与已标价工程量清单总报价一致。</w:t>
            </w:r>
          </w:p>
          <w:p w14:paraId="1216CC98">
            <w:pPr>
              <w:pStyle w:val="2"/>
              <w:tabs>
                <w:tab w:val="left" w:pos="546"/>
                <w:tab w:val="left" w:pos="711"/>
              </w:tabs>
              <w:snapToGrid w:val="0"/>
              <w:spacing w:after="0" w:line="400" w:lineRule="exact"/>
              <w:ind w:left="6" w:leftChars="3" w:firstLine="420" w:firstLineChars="200"/>
              <w:rPr>
                <w:rFonts w:hint="eastAsia"/>
                <w:highlight w:val="none"/>
                <w:lang w:eastAsia="zh-CN"/>
              </w:rPr>
            </w:pPr>
            <w:r>
              <w:rPr>
                <w:highlight w:val="none"/>
              </w:rPr>
              <w:t>5.</w:t>
            </w:r>
            <w:r>
              <w:rPr>
                <w:rFonts w:hint="eastAsia"/>
                <w:highlight w:val="none"/>
              </w:rPr>
              <w:t>（1）在合同实施期间，单价和总价按专用合同条款第11条的规定可调整，投标人应填写</w:t>
            </w:r>
            <w:r>
              <w:rPr>
                <w:rFonts w:hint="eastAsia"/>
                <w:highlight w:val="none"/>
                <w:lang w:eastAsia="zh-CN"/>
              </w:rPr>
              <w:t>比选文件</w:t>
            </w:r>
            <w:r>
              <w:rPr>
                <w:rFonts w:hint="eastAsia"/>
                <w:highlight w:val="none"/>
              </w:rPr>
              <w:t>第四卷第八章投标函附录中的价格指数和权重系数或确认基准日期前工程造价管理机构发布的信息价格。</w:t>
            </w:r>
          </w:p>
          <w:p w14:paraId="52AB39F3">
            <w:pPr>
              <w:pStyle w:val="2"/>
              <w:tabs>
                <w:tab w:val="left" w:pos="546"/>
                <w:tab w:val="left" w:pos="711"/>
              </w:tabs>
              <w:snapToGrid w:val="0"/>
              <w:spacing w:after="0" w:line="400" w:lineRule="exact"/>
              <w:ind w:left="6" w:leftChars="3" w:firstLine="420" w:firstLineChars="200"/>
              <w:rPr>
                <w:rFonts w:hint="eastAsia"/>
                <w:highlight w:val="none"/>
              </w:rPr>
            </w:pPr>
            <w:r>
              <w:rPr>
                <w:rFonts w:hint="eastAsia"/>
                <w:highlight w:val="none"/>
              </w:rPr>
              <w:t>（2）增值税计税方法由</w:t>
            </w:r>
            <w:r>
              <w:rPr>
                <w:rFonts w:hint="eastAsia"/>
                <w:highlight w:val="none"/>
                <w:lang w:eastAsia="zh-CN"/>
              </w:rPr>
              <w:t>比选人</w:t>
            </w:r>
            <w:r>
              <w:rPr>
                <w:rFonts w:hint="eastAsia"/>
                <w:highlight w:val="none"/>
              </w:rPr>
              <w:t>依据国家税法规定选择：</w:t>
            </w:r>
          </w:p>
          <w:p w14:paraId="2EC4F048">
            <w:pPr>
              <w:pStyle w:val="2"/>
              <w:tabs>
                <w:tab w:val="left" w:pos="546"/>
                <w:tab w:val="left" w:pos="711"/>
              </w:tabs>
              <w:snapToGrid w:val="0"/>
              <w:spacing w:after="0" w:line="400" w:lineRule="exact"/>
              <w:ind w:left="6" w:leftChars="3" w:firstLine="420" w:firstLineChars="200"/>
              <w:rPr>
                <w:rFonts w:hint="eastAsia"/>
                <w:highlight w:val="none"/>
              </w:rPr>
            </w:pPr>
            <w:r>
              <w:rPr>
                <w:rFonts w:hint="eastAsia"/>
                <w:highlight w:val="none"/>
                <w:lang w:eastAsia="zh-CN"/>
              </w:rPr>
              <w:t>☑</w:t>
            </w:r>
            <w:r>
              <w:rPr>
                <w:rFonts w:hint="eastAsia"/>
                <w:highlight w:val="none"/>
              </w:rPr>
              <w:t>一般计税法</w:t>
            </w:r>
          </w:p>
          <w:p w14:paraId="7CC0093E">
            <w:pPr>
              <w:pStyle w:val="2"/>
              <w:tabs>
                <w:tab w:val="left" w:pos="546"/>
                <w:tab w:val="left" w:pos="711"/>
              </w:tabs>
              <w:snapToGrid w:val="0"/>
              <w:spacing w:after="0" w:line="400" w:lineRule="exact"/>
              <w:ind w:left="6" w:leftChars="3" w:firstLine="420" w:firstLineChars="200"/>
              <w:rPr>
                <w:highlight w:val="none"/>
              </w:rPr>
            </w:pPr>
            <w:r>
              <w:rPr>
                <w:highlight w:val="none"/>
              </w:rPr>
              <w:t>6.</w:t>
            </w:r>
            <w:r>
              <w:rPr>
                <w:rFonts w:hint="eastAsia"/>
                <w:highlight w:val="none"/>
              </w:rPr>
              <w:t>如发现工程量清单中的数量与图纸中数量不一致，应于本须知2.2.1项中规定的时间前书面通知</w:t>
            </w:r>
            <w:r>
              <w:rPr>
                <w:rFonts w:hint="eastAsia"/>
                <w:highlight w:val="none"/>
                <w:lang w:eastAsia="zh-CN"/>
              </w:rPr>
              <w:t>比选人</w:t>
            </w:r>
            <w:r>
              <w:rPr>
                <w:rFonts w:hint="eastAsia"/>
                <w:highlight w:val="none"/>
              </w:rPr>
              <w:t>核查，除非</w:t>
            </w:r>
            <w:r>
              <w:rPr>
                <w:rFonts w:hint="eastAsia"/>
                <w:highlight w:val="none"/>
                <w:lang w:eastAsia="zh-CN"/>
              </w:rPr>
              <w:t>比选人</w:t>
            </w:r>
            <w:r>
              <w:rPr>
                <w:rFonts w:hint="eastAsia"/>
                <w:highlight w:val="none"/>
              </w:rPr>
              <w:t>以补遗书的形式予以更正，否则，应以工程量清单中列出的数量为准。</w:t>
            </w:r>
          </w:p>
          <w:p w14:paraId="4EF92DCE">
            <w:pPr>
              <w:tabs>
                <w:tab w:val="left" w:pos="546"/>
                <w:tab w:val="left" w:pos="711"/>
              </w:tabs>
              <w:snapToGrid w:val="0"/>
              <w:spacing w:line="400" w:lineRule="exact"/>
              <w:ind w:firstLine="420" w:firstLineChars="200"/>
              <w:rPr>
                <w:highlight w:val="none"/>
              </w:rPr>
            </w:pPr>
            <w:r>
              <w:rPr>
                <w:highlight w:val="none"/>
              </w:rPr>
              <w:t>7.</w:t>
            </w:r>
            <w:r>
              <w:rPr>
                <w:rFonts w:hint="eastAsia"/>
                <w:highlight w:val="none"/>
                <w:lang w:eastAsia="zh-CN"/>
              </w:rPr>
              <w:t>比选人</w:t>
            </w:r>
            <w:r>
              <w:rPr>
                <w:rFonts w:hint="eastAsia"/>
                <w:highlight w:val="none"/>
              </w:rPr>
              <w:t>在工程量清单中所列出的价格（包括暂列金额、暂估价</w:t>
            </w:r>
            <w:r>
              <w:rPr>
                <w:rFonts w:hint="eastAsia"/>
                <w:highlight w:val="none"/>
                <w:lang w:eastAsia="zh-CN"/>
              </w:rPr>
              <w:t>、</w:t>
            </w:r>
            <w:r>
              <w:rPr>
                <w:rFonts w:hint="eastAsia"/>
                <w:highlight w:val="none"/>
                <w:lang w:val="en-US" w:eastAsia="zh-CN"/>
              </w:rPr>
              <w:t>暂定金额</w:t>
            </w:r>
            <w:r>
              <w:rPr>
                <w:rFonts w:hint="eastAsia"/>
                <w:highlight w:val="none"/>
              </w:rPr>
              <w:t>），投标人不得修改。</w:t>
            </w:r>
          </w:p>
          <w:p w14:paraId="5A4A297D">
            <w:pPr>
              <w:tabs>
                <w:tab w:val="left" w:pos="546"/>
                <w:tab w:val="left" w:pos="711"/>
              </w:tabs>
              <w:snapToGrid w:val="0"/>
              <w:spacing w:line="400" w:lineRule="exact"/>
              <w:ind w:firstLine="420" w:firstLineChars="200"/>
              <w:rPr>
                <w:rFonts w:hint="eastAsia"/>
                <w:highlight w:val="none"/>
              </w:rPr>
            </w:pPr>
            <w:r>
              <w:rPr>
                <w:rFonts w:hint="eastAsia"/>
                <w:highlight w:val="none"/>
              </w:rPr>
              <w:t>8.本工程</w:t>
            </w:r>
            <w:r>
              <w:rPr>
                <w:rFonts w:hint="eastAsia"/>
                <w:highlight w:val="none"/>
                <w:lang w:eastAsia="zh-CN"/>
              </w:rPr>
              <w:t>竞争性比选</w:t>
            </w:r>
            <w:r>
              <w:rPr>
                <w:rFonts w:hint="eastAsia"/>
                <w:highlight w:val="none"/>
              </w:rPr>
              <w:t>将设置投标总报价最高限价，投标总报价最高限价</w:t>
            </w:r>
            <w:r>
              <w:rPr>
                <w:rFonts w:hint="eastAsia"/>
                <w:highlight w:val="none"/>
                <w:lang w:val="en-US" w:eastAsia="zh-CN"/>
              </w:rPr>
              <w:t>为：</w:t>
            </w:r>
            <w:r>
              <w:rPr>
                <w:rFonts w:hint="eastAsia"/>
                <w:b/>
                <w:bCs/>
                <w:highlight w:val="none"/>
                <w:u w:val="single"/>
                <w:lang w:val="en-US" w:eastAsia="zh-CN"/>
              </w:rPr>
              <w:t>875836.56</w:t>
            </w:r>
            <w:r>
              <w:rPr>
                <w:rFonts w:hint="eastAsia"/>
                <w:highlight w:val="none"/>
                <w:lang w:val="en-US" w:eastAsia="zh-CN"/>
              </w:rPr>
              <w:t>元，大写（捌拾柒万伍仟捌佰叁拾陆元伍角陆分）(其中包含安全文明施工费</w:t>
            </w:r>
            <w:r>
              <w:rPr>
                <w:rFonts w:hint="eastAsia"/>
                <w:b/>
                <w:bCs/>
                <w:highlight w:val="none"/>
                <w:u w:val="single"/>
                <w:lang w:val="en-US" w:eastAsia="zh-CN"/>
              </w:rPr>
              <w:t>31072.39元</w:t>
            </w:r>
            <w:r>
              <w:rPr>
                <w:rFonts w:hint="eastAsia"/>
                <w:highlight w:val="none"/>
                <w:lang w:val="en-US" w:eastAsia="zh-CN"/>
              </w:rPr>
              <w:t>)</w:t>
            </w:r>
            <w:r>
              <w:rPr>
                <w:rFonts w:hint="eastAsia"/>
                <w:highlight w:val="none"/>
              </w:rPr>
              <w:t>，投标人的投标总报价不得超过其最高限价，否则由评标委员会作否决投标处理。</w:t>
            </w:r>
          </w:p>
          <w:p w14:paraId="25676022">
            <w:pPr>
              <w:tabs>
                <w:tab w:val="left" w:pos="546"/>
                <w:tab w:val="left" w:pos="711"/>
              </w:tabs>
              <w:snapToGrid w:val="0"/>
              <w:spacing w:line="400" w:lineRule="exact"/>
              <w:ind w:firstLine="420" w:firstLineChars="200"/>
              <w:rPr>
                <w:rFonts w:hint="eastAsia"/>
                <w:highlight w:val="none"/>
              </w:rPr>
            </w:pPr>
            <w:r>
              <w:rPr>
                <w:rFonts w:hint="eastAsia"/>
                <w:highlight w:val="none"/>
              </w:rPr>
              <w:t>本工程</w:t>
            </w:r>
            <w:r>
              <w:rPr>
                <w:rFonts w:hint="eastAsia"/>
                <w:highlight w:val="none"/>
                <w:lang w:eastAsia="zh-CN"/>
              </w:rPr>
              <w:t>竞争性比选</w:t>
            </w:r>
            <w:r>
              <w:rPr>
                <w:rFonts w:hint="eastAsia"/>
                <w:highlight w:val="none"/>
              </w:rPr>
              <w:t>将设置全部工程量清单综合单价最高限价，由投标人</w:t>
            </w:r>
            <w:r>
              <w:rPr>
                <w:rFonts w:hint="eastAsia"/>
                <w:color w:val="000000" w:themeColor="text1"/>
                <w:highlight w:val="none"/>
                <w14:textFill>
                  <w14:solidFill>
                    <w14:schemeClr w14:val="tx1"/>
                  </w14:solidFill>
                </w14:textFill>
              </w:rPr>
              <w:t>自行在</w:t>
            </w:r>
            <w:r>
              <w:rPr>
                <w:rFonts w:hint="eastAsia"/>
                <w:color w:val="000000" w:themeColor="text1"/>
                <w:highlight w:val="none"/>
                <w:lang w:val="en-US" w:eastAsia="zh-CN"/>
                <w14:textFill>
                  <w14:solidFill>
                    <w14:schemeClr w14:val="tx1"/>
                  </w14:solidFill>
                </w14:textFill>
              </w:rPr>
              <w:t>网上下载</w:t>
            </w:r>
            <w:r>
              <w:rPr>
                <w:rFonts w:hint="eastAsia"/>
                <w:color w:val="000000" w:themeColor="text1"/>
                <w:highlight w:val="none"/>
                <w14:textFill>
                  <w14:solidFill>
                    <w14:schemeClr w14:val="tx1"/>
                  </w14:solidFill>
                </w14:textFill>
              </w:rPr>
              <w:t>。</w:t>
            </w:r>
            <w:r>
              <w:rPr>
                <w:rFonts w:hint="eastAsia"/>
                <w:highlight w:val="none"/>
              </w:rPr>
              <w:t>投标人的每项工程量清单综合单价报价不得超过其对应清单综合单价最高限价。</w:t>
            </w:r>
          </w:p>
          <w:p w14:paraId="42B9B669">
            <w:pPr>
              <w:tabs>
                <w:tab w:val="left" w:pos="546"/>
                <w:tab w:val="left" w:pos="711"/>
              </w:tabs>
              <w:snapToGrid w:val="0"/>
              <w:spacing w:line="400" w:lineRule="exact"/>
              <w:ind w:firstLine="420" w:firstLineChars="200"/>
              <w:rPr>
                <w:rFonts w:hint="eastAsia"/>
                <w:highlight w:val="none"/>
              </w:rPr>
            </w:pPr>
            <w:r>
              <w:rPr>
                <w:rFonts w:hint="eastAsia"/>
                <w:highlight w:val="none"/>
              </w:rPr>
              <w:t>投标人须在投标文件商务部分提供承诺函（格式自拟），承诺函包括以下内容：</w:t>
            </w:r>
          </w:p>
          <w:p w14:paraId="5F34D2BD">
            <w:pPr>
              <w:tabs>
                <w:tab w:val="left" w:pos="546"/>
                <w:tab w:val="left" w:pos="711"/>
              </w:tabs>
              <w:snapToGrid w:val="0"/>
              <w:spacing w:line="400" w:lineRule="exact"/>
              <w:ind w:firstLine="420" w:firstLineChars="200"/>
              <w:rPr>
                <w:rFonts w:hint="eastAsia"/>
                <w:highlight w:val="none"/>
              </w:rPr>
            </w:pPr>
            <w:r>
              <w:rPr>
                <w:rFonts w:hint="eastAsia"/>
                <w:highlight w:val="none"/>
              </w:rPr>
              <w:t>（1）符合第五章“工程量清单”给出的范围及数量。</w:t>
            </w:r>
          </w:p>
          <w:p w14:paraId="79471215">
            <w:pPr>
              <w:tabs>
                <w:tab w:val="left" w:pos="546"/>
                <w:tab w:val="left" w:pos="711"/>
              </w:tabs>
              <w:snapToGrid w:val="0"/>
              <w:spacing w:line="400" w:lineRule="exact"/>
              <w:ind w:firstLine="420" w:firstLineChars="200"/>
              <w:rPr>
                <w:rFonts w:hint="eastAsia"/>
                <w:highlight w:val="none"/>
              </w:rPr>
            </w:pPr>
            <w:r>
              <w:rPr>
                <w:rFonts w:hint="eastAsia"/>
                <w:highlight w:val="none"/>
              </w:rPr>
              <w:t>（2）</w:t>
            </w:r>
            <w:r>
              <w:rPr>
                <w:rFonts w:hint="eastAsia"/>
                <w:highlight w:val="none"/>
                <w:lang w:eastAsia="zh-CN"/>
              </w:rPr>
              <w:t>比选文件</w:t>
            </w:r>
            <w:r>
              <w:rPr>
                <w:rFonts w:hint="eastAsia"/>
                <w:highlight w:val="none"/>
              </w:rPr>
              <w:t>中规定工程量清单不允许修改的内容不得修改。</w:t>
            </w:r>
          </w:p>
          <w:p w14:paraId="660EBFAA">
            <w:pPr>
              <w:tabs>
                <w:tab w:val="left" w:pos="546"/>
                <w:tab w:val="left" w:pos="711"/>
              </w:tabs>
              <w:snapToGrid w:val="0"/>
              <w:spacing w:line="400" w:lineRule="exact"/>
              <w:ind w:firstLine="420" w:firstLineChars="200"/>
              <w:rPr>
                <w:highlight w:val="none"/>
              </w:rPr>
            </w:pPr>
            <w:r>
              <w:rPr>
                <w:rFonts w:hint="eastAsia"/>
                <w:highlight w:val="none"/>
              </w:rPr>
              <w:t>（3）每项工程量清单综合单价报价不得高于对应工程量清单综合单价最高限价。</w:t>
            </w:r>
          </w:p>
          <w:p w14:paraId="70E9707B">
            <w:pPr>
              <w:pStyle w:val="2"/>
              <w:spacing w:after="0" w:line="400" w:lineRule="exact"/>
              <w:ind w:firstLine="420" w:firstLineChars="200"/>
              <w:rPr>
                <w:highlight w:val="none"/>
              </w:rPr>
            </w:pPr>
            <w:r>
              <w:rPr>
                <w:highlight w:val="none"/>
              </w:rPr>
              <w:t>9.安全文明施工费：</w:t>
            </w:r>
          </w:p>
          <w:p w14:paraId="05B7339E">
            <w:pPr>
              <w:pStyle w:val="2"/>
              <w:tabs>
                <w:tab w:val="left" w:pos="546"/>
                <w:tab w:val="left" w:pos="711"/>
              </w:tabs>
              <w:snapToGrid w:val="0"/>
              <w:spacing w:after="0" w:line="400" w:lineRule="exact"/>
              <w:ind w:firstLine="420" w:firstLineChars="200"/>
              <w:rPr>
                <w:sz w:val="21"/>
                <w:szCs w:val="21"/>
                <w:highlight w:val="none"/>
              </w:rPr>
            </w:pPr>
            <w:r>
              <w:rPr>
                <w:sz w:val="21"/>
                <w:szCs w:val="21"/>
                <w:highlight w:val="none"/>
              </w:rPr>
              <w:t>9.1</w:t>
            </w:r>
            <w:r>
              <w:rPr>
                <w:rFonts w:hint="eastAsia"/>
                <w:sz w:val="21"/>
                <w:szCs w:val="21"/>
                <w:highlight w:val="none"/>
              </w:rPr>
              <w:t>根据《重庆市住房和城乡建设委员会关于修订发布&lt;重庆市建设工程安全文明施工费计取及使用管理规定&gt;的通知》（渝建</w:t>
            </w:r>
            <w:r>
              <w:rPr>
                <w:rFonts w:hint="eastAsia"/>
                <w:sz w:val="21"/>
                <w:szCs w:val="21"/>
                <w:highlight w:val="none"/>
                <w:lang w:val="en-US" w:eastAsia="zh-CN"/>
              </w:rPr>
              <w:t>管</w:t>
            </w:r>
            <w:r>
              <w:rPr>
                <w:rFonts w:hint="eastAsia"/>
                <w:sz w:val="21"/>
                <w:szCs w:val="21"/>
                <w:highlight w:val="none"/>
              </w:rPr>
              <w:t>〔20</w:t>
            </w:r>
            <w:r>
              <w:rPr>
                <w:rFonts w:hint="eastAsia"/>
                <w:sz w:val="21"/>
                <w:szCs w:val="21"/>
                <w:highlight w:val="none"/>
                <w:lang w:val="en-US" w:eastAsia="zh-CN"/>
              </w:rPr>
              <w:t>2</w:t>
            </w:r>
            <w:r>
              <w:rPr>
                <w:rFonts w:hint="eastAsia"/>
                <w:sz w:val="21"/>
                <w:szCs w:val="21"/>
                <w:highlight w:val="none"/>
              </w:rPr>
              <w:t>4〕</w:t>
            </w:r>
            <w:r>
              <w:rPr>
                <w:rFonts w:hint="eastAsia"/>
                <w:sz w:val="21"/>
                <w:szCs w:val="21"/>
                <w:highlight w:val="none"/>
                <w:lang w:val="en-US" w:eastAsia="zh-CN"/>
              </w:rPr>
              <w:t>38</w:t>
            </w:r>
            <w:r>
              <w:rPr>
                <w:rFonts w:hint="eastAsia"/>
                <w:sz w:val="21"/>
                <w:szCs w:val="21"/>
                <w:highlight w:val="none"/>
              </w:rPr>
              <w:t>号）规定，安全文明施工费由安全施工费、文明施工费、环境保护费及临时设施费组成。</w:t>
            </w:r>
          </w:p>
          <w:p w14:paraId="24817C12">
            <w:pPr>
              <w:pStyle w:val="233"/>
              <w:spacing w:line="400" w:lineRule="exact"/>
              <w:ind w:firstLineChars="200"/>
              <w:rPr>
                <w:sz w:val="21"/>
                <w:szCs w:val="21"/>
                <w:highlight w:val="none"/>
              </w:rPr>
            </w:pPr>
            <w:r>
              <w:rPr>
                <w:sz w:val="21"/>
                <w:szCs w:val="21"/>
                <w:highlight w:val="none"/>
              </w:rPr>
              <w:t>9.2本工程安全文明施工费由</w:t>
            </w:r>
            <w:r>
              <w:rPr>
                <w:rFonts w:hint="eastAsia"/>
                <w:sz w:val="21"/>
                <w:szCs w:val="21"/>
                <w:highlight w:val="none"/>
                <w:lang w:eastAsia="zh-CN"/>
              </w:rPr>
              <w:t>比选人</w:t>
            </w:r>
            <w:r>
              <w:rPr>
                <w:sz w:val="21"/>
                <w:szCs w:val="21"/>
                <w:highlight w:val="none"/>
              </w:rPr>
              <w:t>根据《建设工程工程量清单计价规范》（GB50500-2013）、《重庆市建设工程工程量清单计价规则》（CQJJGZ-2013）、</w:t>
            </w:r>
            <w:r>
              <w:rPr>
                <w:rFonts w:hint="eastAsia"/>
                <w:sz w:val="21"/>
                <w:szCs w:val="21"/>
                <w:highlight w:val="none"/>
              </w:rPr>
              <w:t>《重庆市住房和城乡建设委员会关于修订发布&lt;重庆市建设工程安全文明施工费计取及使用管理规定&gt;的通知》（渝建</w:t>
            </w:r>
            <w:r>
              <w:rPr>
                <w:rFonts w:hint="eastAsia"/>
                <w:sz w:val="21"/>
                <w:szCs w:val="21"/>
                <w:highlight w:val="none"/>
                <w:lang w:val="en-US" w:eastAsia="zh-CN"/>
              </w:rPr>
              <w:t>管</w:t>
            </w:r>
            <w:r>
              <w:rPr>
                <w:rFonts w:hint="eastAsia"/>
                <w:sz w:val="21"/>
                <w:szCs w:val="21"/>
                <w:highlight w:val="none"/>
              </w:rPr>
              <w:t>〔20</w:t>
            </w:r>
            <w:r>
              <w:rPr>
                <w:rFonts w:hint="eastAsia"/>
                <w:sz w:val="21"/>
                <w:szCs w:val="21"/>
                <w:highlight w:val="none"/>
                <w:lang w:val="en-US" w:eastAsia="zh-CN"/>
              </w:rPr>
              <w:t>2</w:t>
            </w:r>
            <w:r>
              <w:rPr>
                <w:rFonts w:hint="eastAsia"/>
                <w:sz w:val="21"/>
                <w:szCs w:val="21"/>
                <w:highlight w:val="none"/>
              </w:rPr>
              <w:t>4〕</w:t>
            </w:r>
            <w:r>
              <w:rPr>
                <w:rFonts w:hint="eastAsia"/>
                <w:sz w:val="21"/>
                <w:szCs w:val="21"/>
                <w:highlight w:val="none"/>
                <w:lang w:val="en-US" w:eastAsia="zh-CN"/>
              </w:rPr>
              <w:t>38</w:t>
            </w:r>
            <w:r>
              <w:rPr>
                <w:rFonts w:hint="eastAsia"/>
                <w:sz w:val="21"/>
                <w:szCs w:val="21"/>
                <w:highlight w:val="none"/>
              </w:rPr>
              <w:t>号）</w:t>
            </w:r>
            <w:r>
              <w:rPr>
                <w:sz w:val="21"/>
                <w:szCs w:val="21"/>
                <w:highlight w:val="none"/>
              </w:rPr>
              <w:t>、</w:t>
            </w:r>
            <w:r>
              <w:rPr>
                <w:rFonts w:hint="eastAsia"/>
                <w:sz w:val="21"/>
                <w:szCs w:val="21"/>
                <w:highlight w:val="none"/>
              </w:rPr>
              <w:t>《重庆市建设工程费用定额》（CQFYDE-2018）、《重庆市城乡建设委员会关于适用增值税新税率调整建设工程计价依据的通知》（渝建〔2019〕143号）</w:t>
            </w:r>
            <w:r>
              <w:rPr>
                <w:sz w:val="21"/>
                <w:szCs w:val="21"/>
                <w:highlight w:val="none"/>
              </w:rPr>
              <w:t>的相关规定和费用标准单列计算，安全文明施工费为暂定金额，与最高限价一起公布。《投标函》及工程量清单报价中的安全文明施工费必须按照</w:t>
            </w:r>
            <w:r>
              <w:rPr>
                <w:rFonts w:hint="eastAsia"/>
                <w:sz w:val="21"/>
                <w:szCs w:val="21"/>
                <w:highlight w:val="none"/>
                <w:lang w:eastAsia="zh-CN"/>
              </w:rPr>
              <w:t>比选人</w:t>
            </w:r>
            <w:r>
              <w:rPr>
                <w:sz w:val="21"/>
                <w:szCs w:val="21"/>
                <w:highlight w:val="none"/>
              </w:rPr>
              <w:t>给出的暂定金额填报，否则视为对</w:t>
            </w:r>
            <w:r>
              <w:rPr>
                <w:rFonts w:hint="eastAsia"/>
                <w:sz w:val="21"/>
                <w:szCs w:val="21"/>
                <w:highlight w:val="none"/>
                <w:lang w:eastAsia="zh-CN"/>
              </w:rPr>
              <w:t>比选文件</w:t>
            </w:r>
            <w:r>
              <w:rPr>
                <w:sz w:val="21"/>
                <w:szCs w:val="21"/>
                <w:highlight w:val="none"/>
              </w:rPr>
              <w:t>不作实质性响应，其投标文件</w:t>
            </w:r>
            <w:r>
              <w:rPr>
                <w:rFonts w:hint="eastAsia"/>
                <w:sz w:val="21"/>
                <w:szCs w:val="21"/>
                <w:highlight w:val="none"/>
              </w:rPr>
              <w:t>由评标委员会</w:t>
            </w:r>
            <w:r>
              <w:rPr>
                <w:sz w:val="21"/>
                <w:szCs w:val="21"/>
                <w:highlight w:val="none"/>
              </w:rPr>
              <w:t>作否决投标处理。</w:t>
            </w:r>
          </w:p>
          <w:p w14:paraId="491673EE">
            <w:pPr>
              <w:tabs>
                <w:tab w:val="left" w:pos="546"/>
                <w:tab w:val="left" w:pos="711"/>
              </w:tabs>
              <w:snapToGrid w:val="0"/>
              <w:spacing w:line="400" w:lineRule="exact"/>
              <w:ind w:firstLine="420" w:firstLineChars="200"/>
              <w:rPr>
                <w:highlight w:val="none"/>
              </w:rPr>
            </w:pPr>
            <w:r>
              <w:rPr>
                <w:highlight w:val="none"/>
              </w:rPr>
              <w:t>10.</w:t>
            </w:r>
            <w:r>
              <w:rPr>
                <w:rFonts w:hint="eastAsia"/>
                <w:highlight w:val="none"/>
              </w:rPr>
              <w:t>本工程所需材料（含设备）价格由投标人参照重庆市建设工程造价管理总站发布的《重庆工程造价信息》或工程造价管理机构发布的工程造价信息（造价信息引用时限为</w:t>
            </w:r>
            <w:r>
              <w:rPr>
                <w:rFonts w:hint="eastAsia"/>
                <w:highlight w:val="none"/>
                <w:lang w:eastAsia="zh-CN"/>
              </w:rPr>
              <w:t>竞争性比选</w:t>
            </w:r>
            <w:r>
              <w:rPr>
                <w:rFonts w:hint="eastAsia"/>
                <w:highlight w:val="none"/>
              </w:rPr>
              <w:t>公告发布日期前一期），并结合市场行情及自身实力进行自主报价。</w:t>
            </w:r>
          </w:p>
          <w:p w14:paraId="64339572">
            <w:pPr>
              <w:pStyle w:val="2"/>
              <w:tabs>
                <w:tab w:val="left" w:pos="546"/>
                <w:tab w:val="left" w:pos="711"/>
              </w:tabs>
              <w:snapToGrid w:val="0"/>
              <w:spacing w:after="0" w:line="400" w:lineRule="exact"/>
              <w:ind w:firstLine="420" w:firstLineChars="200"/>
              <w:rPr>
                <w:rFonts w:hint="eastAsia"/>
                <w:highlight w:val="none"/>
                <w:lang w:eastAsia="zh-CN"/>
              </w:rPr>
            </w:pPr>
            <w:r>
              <w:rPr>
                <w:rFonts w:hint="eastAsia"/>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b/>
                <w:bCs/>
                <w:highlight w:val="none"/>
                <w:u w:val="single"/>
                <w:lang w:val="en-US" w:eastAsia="zh-CN"/>
              </w:rPr>
              <w:t xml:space="preserve"> </w:t>
            </w:r>
            <w:r>
              <w:rPr>
                <w:rFonts w:hint="eastAsia"/>
                <w:b/>
                <w:bCs/>
                <w:highlight w:val="none"/>
                <w:u w:val="single"/>
              </w:rPr>
              <w:t>不调整</w:t>
            </w:r>
            <w:r>
              <w:rPr>
                <w:rFonts w:hint="eastAsia"/>
                <w:b/>
                <w:bCs/>
                <w:highlight w:val="none"/>
                <w:u w:val="single"/>
                <w:lang w:val="en-US" w:eastAsia="zh-CN"/>
              </w:rPr>
              <w:t xml:space="preserve"> </w:t>
            </w:r>
            <w:r>
              <w:rPr>
                <w:rFonts w:hint="eastAsia"/>
                <w:highlight w:val="none"/>
                <w:lang w:eastAsia="zh-CN"/>
              </w:rPr>
              <w:t>。</w:t>
            </w:r>
          </w:p>
          <w:p w14:paraId="2974C3AE">
            <w:pPr>
              <w:pStyle w:val="2"/>
              <w:tabs>
                <w:tab w:val="left" w:pos="546"/>
                <w:tab w:val="left" w:pos="711"/>
              </w:tabs>
              <w:snapToGrid w:val="0"/>
              <w:spacing w:after="0" w:line="400" w:lineRule="exact"/>
              <w:ind w:firstLine="420" w:firstLineChars="200"/>
              <w:rPr>
                <w:rFonts w:ascii="宋体" w:hAnsi="宋体" w:cs="宋体"/>
                <w:b/>
                <w:color w:val="auto"/>
                <w:kern w:val="0"/>
                <w:szCs w:val="21"/>
                <w:highlight w:val="none"/>
              </w:rPr>
            </w:pPr>
            <w:r>
              <w:rPr>
                <w:highlight w:val="none"/>
              </w:rPr>
              <w:t>1</w:t>
            </w:r>
            <w:r>
              <w:rPr>
                <w:rFonts w:hint="eastAsia"/>
                <w:highlight w:val="none"/>
              </w:rPr>
              <w:t>2</w:t>
            </w:r>
            <w:r>
              <w:rPr>
                <w:highlight w:val="none"/>
              </w:rPr>
              <w:t>.</w:t>
            </w:r>
            <w:r>
              <w:rPr>
                <w:rFonts w:hint="eastAsia"/>
                <w:highlight w:val="none"/>
              </w:rPr>
              <w:t>本项目所采用技术、工艺和产品等必须执行重庆市住房和城乡建设委员会关于发布《重庆市建设领域禁止、限制使用落后技术通告（2019年版）（渝建发〔2019〕25号）的规定。</w:t>
            </w:r>
          </w:p>
        </w:tc>
      </w:tr>
      <w:tr w14:paraId="42B7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57EF261">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1500" w:type="dxa"/>
            <w:vAlign w:val="center"/>
          </w:tcPr>
          <w:p w14:paraId="0551044A">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7189" w:type="dxa"/>
            <w:vAlign w:val="center"/>
          </w:tcPr>
          <w:p w14:paraId="2A45F61A">
            <w:pPr>
              <w:snapToGrid w:val="0"/>
              <w:spacing w:line="320" w:lineRule="exact"/>
              <w:rPr>
                <w:rFonts w:ascii="宋体" w:hAnsi="宋体" w:cs="宋体"/>
                <w:color w:val="auto"/>
                <w:szCs w:val="21"/>
                <w:highlight w:val="none"/>
              </w:rPr>
            </w:pPr>
            <w:r>
              <w:rPr>
                <w:rFonts w:hint="eastAsia" w:ascii="宋体" w:hAnsi="宋体"/>
                <w:color w:val="auto"/>
                <w:szCs w:val="21"/>
                <w:highlight w:val="none"/>
                <w:u w:val="single"/>
              </w:rPr>
              <w:t xml:space="preserve"> 90 </w:t>
            </w:r>
            <w:r>
              <w:rPr>
                <w:rFonts w:hint="eastAsia" w:ascii="宋体" w:hAnsi="宋体"/>
                <w:color w:val="auto"/>
                <w:szCs w:val="21"/>
                <w:highlight w:val="none"/>
              </w:rPr>
              <w:t>日历天（从提交投标文件截止日起计算）</w:t>
            </w:r>
          </w:p>
        </w:tc>
      </w:tr>
      <w:tr w14:paraId="18C2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AB4131B">
            <w:pPr>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3.4.1</w:t>
            </w:r>
          </w:p>
        </w:tc>
        <w:tc>
          <w:tcPr>
            <w:tcW w:w="1500" w:type="dxa"/>
            <w:vAlign w:val="center"/>
          </w:tcPr>
          <w:p w14:paraId="16DA0793">
            <w:pPr>
              <w:snapToGrid w:val="0"/>
              <w:spacing w:line="300" w:lineRule="auto"/>
              <w:jc w:val="center"/>
              <w:rPr>
                <w:rFonts w:ascii="宋体" w:hAnsi="宋体" w:cs="MingLiU"/>
                <w:b/>
                <w:bCs/>
                <w:color w:val="auto"/>
                <w:kern w:val="0"/>
                <w:szCs w:val="21"/>
                <w:highlight w:val="none"/>
              </w:rPr>
            </w:pPr>
            <w:r>
              <w:rPr>
                <w:rFonts w:hint="eastAsia" w:ascii="宋体" w:hAnsi="宋体" w:cs="MingLiU"/>
                <w:b/>
                <w:bCs/>
                <w:color w:val="auto"/>
                <w:kern w:val="0"/>
                <w:szCs w:val="21"/>
                <w:highlight w:val="none"/>
              </w:rPr>
              <w:t>投标保证金</w:t>
            </w:r>
          </w:p>
        </w:tc>
        <w:tc>
          <w:tcPr>
            <w:tcW w:w="7189" w:type="dxa"/>
            <w:vAlign w:val="center"/>
          </w:tcPr>
          <w:p w14:paraId="78351B2E">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1、投标保证金的</w:t>
            </w:r>
            <w:r>
              <w:rPr>
                <w:rFonts w:hint="eastAsia" w:ascii="宋体" w:hAnsi="宋体"/>
                <w:color w:val="auto"/>
                <w:szCs w:val="21"/>
                <w:highlight w:val="none"/>
                <w:lang w:eastAsia="zh-CN"/>
              </w:rPr>
              <w:t>提交</w:t>
            </w:r>
          </w:p>
          <w:p w14:paraId="7FA055F1">
            <w:pPr>
              <w:snapToGrid w:val="0"/>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auto"/>
                <w:szCs w:val="21"/>
                <w:highlight w:val="none"/>
              </w:rPr>
              <w:t>投标保</w:t>
            </w:r>
            <w:r>
              <w:rPr>
                <w:rFonts w:hint="eastAsia" w:ascii="宋体" w:hAnsi="宋体"/>
                <w:color w:val="000000" w:themeColor="text1"/>
                <w:szCs w:val="21"/>
                <w:highlight w:val="none"/>
                <w14:textFill>
                  <w14:solidFill>
                    <w14:schemeClr w14:val="tx1"/>
                  </w14:solidFill>
                </w14:textFill>
              </w:rPr>
              <w:t>证金必须采用转帐或电汇方式</w:t>
            </w:r>
            <w:r>
              <w:rPr>
                <w:rFonts w:hint="eastAsia" w:ascii="宋体" w:hAnsi="宋体"/>
                <w:color w:val="000000" w:themeColor="text1"/>
                <w:szCs w:val="21"/>
                <w:highlight w:val="none"/>
                <w:lang w:eastAsia="zh-CN"/>
                <w14:textFill>
                  <w14:solidFill>
                    <w14:schemeClr w14:val="tx1"/>
                  </w14:solidFill>
                </w14:textFill>
              </w:rPr>
              <w:t>进行提交（</w:t>
            </w:r>
            <w:r>
              <w:rPr>
                <w:rFonts w:hint="eastAsia" w:ascii="黑体" w:hAnsi="宋体" w:eastAsia="黑体"/>
                <w:b/>
                <w:color w:val="000000" w:themeColor="text1"/>
                <w:szCs w:val="21"/>
                <w:highlight w:val="none"/>
                <w14:textFill>
                  <w14:solidFill>
                    <w14:schemeClr w14:val="tx1"/>
                  </w14:solidFill>
                </w14:textFill>
              </w:rPr>
              <w:t>投标人不得采用超级网银支付投标保证金</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，且必须从投标人基本帐户转入或汇入</w:t>
            </w:r>
            <w:r>
              <w:rPr>
                <w:rFonts w:hint="eastAsia" w:ascii="宋体" w:hAnsi="宋体"/>
                <w:color w:val="000000" w:themeColor="text1"/>
                <w:szCs w:val="21"/>
                <w:highlight w:val="none"/>
                <w:lang w:val="en-US" w:eastAsia="zh-CN"/>
                <w14:textFill>
                  <w14:solidFill>
                    <w14:schemeClr w14:val="tx1"/>
                  </w14:solidFill>
                </w14:textFill>
              </w:rPr>
              <w:t>指定</w:t>
            </w:r>
            <w:r>
              <w:rPr>
                <w:rFonts w:hint="eastAsia" w:ascii="宋体" w:hAnsi="宋体"/>
                <w:color w:val="000000" w:themeColor="text1"/>
                <w:szCs w:val="21"/>
                <w:highlight w:val="none"/>
                <w14:textFill>
                  <w14:solidFill>
                    <w14:schemeClr w14:val="tx1"/>
                  </w14:solidFill>
                </w14:textFill>
              </w:rPr>
              <w:t>帐户</w:t>
            </w:r>
            <w:r>
              <w:rPr>
                <w:rFonts w:hint="eastAsia" w:ascii="黑体" w:hAnsi="宋体" w:eastAsia="黑体"/>
                <w:b/>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否则其投标保证金无效。</w:t>
            </w:r>
          </w:p>
          <w:p w14:paraId="62BE96A5">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2、投标保证金的金额</w:t>
            </w:r>
          </w:p>
          <w:p w14:paraId="75FB33F3">
            <w:pPr>
              <w:keepNext w:val="0"/>
              <w:keepLines w:val="0"/>
              <w:pageBreakBefore w:val="0"/>
              <w:widowControl w:val="0"/>
              <w:kinsoku/>
              <w:wordWrap/>
              <w:overflowPunct/>
              <w:topLinePunct w:val="0"/>
              <w:autoSpaceDE/>
              <w:autoSpaceDN/>
              <w:bidi w:val="0"/>
              <w:adjustRightInd/>
              <w:snapToGrid w:val="0"/>
              <w:spacing w:line="360" w:lineRule="exact"/>
              <w:ind w:right="0" w:rightChars="0" w:firstLine="420" w:firstLineChars="200"/>
              <w:jc w:val="both"/>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本工程招标要求投标人提交投标保证金</w:t>
            </w:r>
            <w:r>
              <w:rPr>
                <w:rFonts w:hint="eastAsia" w:ascii="宋体" w:hAnsi="宋体"/>
                <w:color w:val="000000" w:themeColor="text1"/>
                <w:szCs w:val="21"/>
                <w:highlight w:val="none"/>
                <w:u w:val="single"/>
                <w:lang w:val="en-US" w:eastAsia="zh-CN"/>
                <w14:textFill>
                  <w14:solidFill>
                    <w14:schemeClr w14:val="tx1"/>
                  </w14:solidFill>
                </w14:textFill>
              </w:rPr>
              <w:t>17500.00</w:t>
            </w:r>
            <w:r>
              <w:rPr>
                <w:rFonts w:hint="eastAsia" w:ascii="宋体" w:hAnsi="宋体"/>
                <w:color w:val="000000" w:themeColor="text1"/>
                <w:szCs w:val="21"/>
                <w:highlight w:val="none"/>
                <w:u w:val="singl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人民币（大写：</w:t>
            </w:r>
            <w:r>
              <w:rPr>
                <w:rFonts w:hint="eastAsia" w:ascii="宋体" w:hAnsi="宋体"/>
                <w:color w:val="000000" w:themeColor="text1"/>
                <w:szCs w:val="21"/>
                <w:highlight w:val="none"/>
                <w:lang w:val="en-US" w:eastAsia="zh-CN"/>
                <w14:textFill>
                  <w14:solidFill>
                    <w14:schemeClr w14:val="tx1"/>
                  </w14:solidFill>
                </w14:textFill>
              </w:rPr>
              <w:t>壹万柒仟伍佰元整</w:t>
            </w:r>
            <w:r>
              <w:rPr>
                <w:rFonts w:hint="eastAsia" w:ascii="宋体" w:hAnsi="宋体"/>
                <w:color w:val="000000" w:themeColor="text1"/>
                <w:szCs w:val="21"/>
                <w:highlight w:val="none"/>
                <w14:textFill>
                  <w14:solidFill>
                    <w14:schemeClr w14:val="tx1"/>
                  </w14:solidFill>
                </w14:textFill>
              </w:rPr>
              <w:t>）。</w:t>
            </w:r>
          </w:p>
          <w:p w14:paraId="6139D1C2">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3、投标保证金的到账截止时间</w:t>
            </w:r>
          </w:p>
          <w:p w14:paraId="71F6B780">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本工程投标保证金到账截止时间与投标截止时间一致。以</w:t>
            </w:r>
            <w:r>
              <w:rPr>
                <w:rFonts w:hint="eastAsia" w:ascii="宋体" w:hAnsi="宋体" w:cs="宋体"/>
                <w:color w:val="auto"/>
                <w:kern w:val="0"/>
                <w:szCs w:val="21"/>
                <w:highlight w:val="none"/>
              </w:rPr>
              <w:t>重庆市</w:t>
            </w:r>
            <w:r>
              <w:rPr>
                <w:rFonts w:hint="eastAsia" w:ascii="宋体" w:hAnsi="宋体" w:cs="宋体"/>
                <w:color w:val="auto"/>
                <w:kern w:val="0"/>
                <w:szCs w:val="21"/>
                <w:highlight w:val="none"/>
                <w:lang w:eastAsia="zh-CN"/>
              </w:rPr>
              <w:t>铜梁区</w:t>
            </w:r>
            <w:r>
              <w:rPr>
                <w:rFonts w:hint="eastAsia" w:ascii="宋体" w:hAnsi="宋体" w:cs="宋体"/>
                <w:color w:val="auto"/>
                <w:kern w:val="0"/>
                <w:szCs w:val="21"/>
                <w:highlight w:val="none"/>
              </w:rPr>
              <w:t>公共资源</w:t>
            </w:r>
            <w:r>
              <w:rPr>
                <w:rFonts w:hint="eastAsia" w:ascii="宋体" w:hAnsi="宋体" w:cs="宋体"/>
                <w:color w:val="auto"/>
                <w:kern w:val="0"/>
                <w:szCs w:val="21"/>
                <w:highlight w:val="none"/>
                <w:lang w:eastAsia="zh-CN"/>
              </w:rPr>
              <w:t>综合</w:t>
            </w:r>
            <w:r>
              <w:rPr>
                <w:rFonts w:hint="eastAsia" w:ascii="宋体" w:hAnsi="宋体" w:cs="宋体"/>
                <w:color w:val="auto"/>
                <w:kern w:val="0"/>
                <w:szCs w:val="21"/>
                <w:highlight w:val="none"/>
              </w:rPr>
              <w:t>交易中心</w:t>
            </w:r>
            <w:r>
              <w:rPr>
                <w:rFonts w:hint="eastAsia" w:ascii="宋体" w:hAnsi="宋体"/>
                <w:color w:val="000000" w:themeColor="text1"/>
                <w:szCs w:val="21"/>
                <w:highlight w:val="none"/>
                <w14:textFill>
                  <w14:solidFill>
                    <w14:schemeClr w14:val="tx1"/>
                  </w14:solidFill>
                </w14:textFill>
              </w:rPr>
              <w:t>提供的信息为准,在规定时间后到账的投标保证金无效。</w:t>
            </w:r>
          </w:p>
          <w:p w14:paraId="2F5C88A1">
            <w:pPr>
              <w:numPr>
                <w:ilvl w:val="0"/>
                <w:numId w:val="6"/>
              </w:numPr>
              <w:snapToGrid w:val="0"/>
              <w:spacing w:line="400" w:lineRule="exact"/>
              <w:ind w:left="386" w:leftChars="0" w:firstLine="0" w:firstLineChars="0"/>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投标保证金提交开户银行、账号和</w:t>
            </w:r>
            <w:r>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t>户名</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（任选其一）</w:t>
            </w:r>
          </w:p>
          <w:p w14:paraId="68BB2A27">
            <w:pPr>
              <w:pStyle w:val="2"/>
              <w:numPr>
                <w:ilvl w:val="0"/>
                <w:numId w:val="0"/>
              </w:numPr>
              <w:ind w:left="386" w:leftChars="0"/>
              <w:rPr>
                <w:rFonts w:hint="default"/>
                <w:lang w:val="en-US" w:eastAsia="zh-CN"/>
              </w:rPr>
            </w:pPr>
            <w:r>
              <w:rPr>
                <w:rFonts w:hint="default"/>
                <w:lang w:val="en-US" w:eastAsia="zh-CN"/>
              </w:rPr>
              <w:t>(1)</w:t>
            </w:r>
          </w:p>
          <w:p w14:paraId="40F85EE7">
            <w:pPr>
              <w:pStyle w:val="2"/>
              <w:numPr>
                <w:ilvl w:val="0"/>
                <w:numId w:val="0"/>
              </w:numPr>
              <w:ind w:left="386" w:leftChars="0"/>
              <w:rPr>
                <w:rFonts w:hint="default"/>
                <w:lang w:val="en-US" w:eastAsia="zh-CN"/>
              </w:rPr>
            </w:pPr>
            <w:r>
              <w:rPr>
                <w:rFonts w:hint="default"/>
                <w:lang w:val="en-US" w:eastAsia="zh-CN"/>
              </w:rPr>
              <w:t>银行名称： 重庆农村商业银行</w:t>
            </w:r>
          </w:p>
          <w:p w14:paraId="228716F2">
            <w:pPr>
              <w:pStyle w:val="2"/>
              <w:numPr>
                <w:ilvl w:val="0"/>
                <w:numId w:val="0"/>
              </w:numPr>
              <w:ind w:left="386" w:leftChars="0"/>
              <w:rPr>
                <w:rFonts w:hint="default"/>
                <w:lang w:val="en-US" w:eastAsia="zh-CN"/>
              </w:rPr>
            </w:pPr>
            <w:r>
              <w:rPr>
                <w:rFonts w:hint="default"/>
                <w:lang w:val="en-US" w:eastAsia="zh-CN"/>
              </w:rPr>
              <w:t>银行账号： 0205010120010028826011157</w:t>
            </w:r>
          </w:p>
          <w:p w14:paraId="740ABB79">
            <w:pPr>
              <w:pStyle w:val="2"/>
              <w:numPr>
                <w:ilvl w:val="0"/>
                <w:numId w:val="0"/>
              </w:numPr>
              <w:ind w:left="386" w:leftChars="0"/>
              <w:rPr>
                <w:rFonts w:hint="default"/>
                <w:lang w:val="en-US" w:eastAsia="zh-CN"/>
              </w:rPr>
            </w:pPr>
            <w:r>
              <w:rPr>
                <w:rFonts w:hint="default"/>
                <w:lang w:val="en-US" w:eastAsia="zh-CN"/>
              </w:rPr>
              <w:t>银行账户名称： 重庆联合产权交易所集团股份有限公司</w:t>
            </w:r>
          </w:p>
          <w:p w14:paraId="50041D17">
            <w:pPr>
              <w:pStyle w:val="2"/>
              <w:numPr>
                <w:ilvl w:val="0"/>
                <w:numId w:val="0"/>
              </w:numPr>
              <w:ind w:left="386" w:leftChars="0"/>
              <w:rPr>
                <w:rFonts w:hint="default"/>
                <w:lang w:val="en-US" w:eastAsia="zh-CN"/>
              </w:rPr>
            </w:pPr>
            <w:r>
              <w:rPr>
                <w:rFonts w:hint="default"/>
                <w:lang w:val="en-US" w:eastAsia="zh-CN"/>
              </w:rPr>
              <w:t>银行支行： 重庆农村商业银行股份有限公司江北支行</w:t>
            </w:r>
          </w:p>
          <w:p w14:paraId="363B6C2C">
            <w:pPr>
              <w:pStyle w:val="2"/>
              <w:numPr>
                <w:ilvl w:val="0"/>
                <w:numId w:val="0"/>
              </w:numPr>
              <w:ind w:left="386" w:leftChars="0"/>
              <w:rPr>
                <w:rFonts w:hint="default"/>
                <w:lang w:val="en-US" w:eastAsia="zh-CN"/>
              </w:rPr>
            </w:pPr>
            <w:r>
              <w:rPr>
                <w:rFonts w:hint="default"/>
                <w:lang w:val="en-US" w:eastAsia="zh-CN"/>
              </w:rPr>
              <w:t>(2)</w:t>
            </w:r>
          </w:p>
          <w:p w14:paraId="3BA0181B">
            <w:pPr>
              <w:pStyle w:val="2"/>
              <w:numPr>
                <w:ilvl w:val="0"/>
                <w:numId w:val="0"/>
              </w:numPr>
              <w:ind w:left="386" w:leftChars="0"/>
              <w:rPr>
                <w:rFonts w:hint="default"/>
                <w:lang w:val="en-US" w:eastAsia="zh-CN"/>
              </w:rPr>
            </w:pPr>
            <w:r>
              <w:rPr>
                <w:rFonts w:hint="default"/>
                <w:lang w:val="en-US" w:eastAsia="zh-CN"/>
              </w:rPr>
              <w:t>银行名称： 中国农业银行</w:t>
            </w:r>
          </w:p>
          <w:p w14:paraId="2CF9DAD5">
            <w:pPr>
              <w:pStyle w:val="2"/>
              <w:numPr>
                <w:ilvl w:val="0"/>
                <w:numId w:val="0"/>
              </w:numPr>
              <w:ind w:left="386" w:leftChars="0"/>
              <w:rPr>
                <w:rFonts w:hint="default"/>
                <w:lang w:val="en-US" w:eastAsia="zh-CN"/>
              </w:rPr>
            </w:pPr>
            <w:r>
              <w:rPr>
                <w:rFonts w:hint="default"/>
                <w:lang w:val="en-US" w:eastAsia="zh-CN"/>
              </w:rPr>
              <w:t>银行账号： 6228400477035378469</w:t>
            </w:r>
          </w:p>
          <w:p w14:paraId="5D76CE78">
            <w:pPr>
              <w:pStyle w:val="2"/>
              <w:numPr>
                <w:ilvl w:val="0"/>
                <w:numId w:val="0"/>
              </w:numPr>
              <w:ind w:left="386" w:leftChars="0"/>
              <w:rPr>
                <w:rFonts w:hint="default"/>
                <w:lang w:val="en-US" w:eastAsia="zh-CN"/>
              </w:rPr>
            </w:pPr>
            <w:r>
              <w:rPr>
                <w:rFonts w:hint="default"/>
                <w:lang w:val="en-US" w:eastAsia="zh-CN"/>
              </w:rPr>
              <w:t>银行账户名称： 重庆联合产权交易所集团股份有限公司</w:t>
            </w:r>
          </w:p>
          <w:p w14:paraId="594BC36E">
            <w:pPr>
              <w:pStyle w:val="2"/>
              <w:numPr>
                <w:ilvl w:val="0"/>
                <w:numId w:val="0"/>
              </w:numPr>
              <w:ind w:left="386" w:leftChars="0"/>
              <w:rPr>
                <w:rFonts w:hint="default"/>
                <w:lang w:val="en-US" w:eastAsia="zh-CN"/>
              </w:rPr>
            </w:pPr>
            <w:r>
              <w:rPr>
                <w:rFonts w:hint="default"/>
                <w:lang w:val="en-US" w:eastAsia="zh-CN"/>
              </w:rPr>
              <w:t>银行支行： 中国农业银行股份有限公司重庆自由贸易试验区分行</w:t>
            </w:r>
          </w:p>
          <w:p w14:paraId="101BB1EC">
            <w:pPr>
              <w:pStyle w:val="2"/>
              <w:numPr>
                <w:ilvl w:val="0"/>
                <w:numId w:val="0"/>
              </w:numPr>
              <w:ind w:left="386" w:leftChars="0"/>
              <w:rPr>
                <w:rFonts w:hint="default"/>
                <w:lang w:val="en-US" w:eastAsia="zh-CN"/>
              </w:rPr>
            </w:pPr>
            <w:r>
              <w:rPr>
                <w:rFonts w:hint="default"/>
                <w:lang w:val="en-US" w:eastAsia="zh-CN"/>
              </w:rPr>
              <w:t>(3)</w:t>
            </w:r>
          </w:p>
          <w:p w14:paraId="2E035EF1">
            <w:pPr>
              <w:pStyle w:val="2"/>
              <w:numPr>
                <w:ilvl w:val="0"/>
                <w:numId w:val="0"/>
              </w:numPr>
              <w:ind w:left="386" w:leftChars="0"/>
              <w:rPr>
                <w:rFonts w:hint="default"/>
                <w:lang w:val="en-US" w:eastAsia="zh-CN"/>
              </w:rPr>
            </w:pPr>
            <w:r>
              <w:rPr>
                <w:rFonts w:hint="default"/>
                <w:lang w:val="en-US" w:eastAsia="zh-CN"/>
              </w:rPr>
              <w:t>银行名称： 中国建设银行</w:t>
            </w:r>
          </w:p>
          <w:p w14:paraId="2653AF55">
            <w:pPr>
              <w:pStyle w:val="2"/>
              <w:numPr>
                <w:ilvl w:val="0"/>
                <w:numId w:val="0"/>
              </w:numPr>
              <w:ind w:left="386" w:leftChars="0"/>
              <w:rPr>
                <w:rFonts w:hint="default"/>
                <w:lang w:val="en-US" w:eastAsia="zh-CN"/>
              </w:rPr>
            </w:pPr>
            <w:r>
              <w:rPr>
                <w:rFonts w:hint="default"/>
                <w:lang w:val="en-US" w:eastAsia="zh-CN"/>
              </w:rPr>
              <w:t>银行账号： 6232813760001929180</w:t>
            </w:r>
          </w:p>
          <w:p w14:paraId="665BBF54">
            <w:pPr>
              <w:pStyle w:val="2"/>
              <w:numPr>
                <w:ilvl w:val="0"/>
                <w:numId w:val="0"/>
              </w:numPr>
              <w:ind w:left="386" w:leftChars="0"/>
              <w:rPr>
                <w:rFonts w:hint="default"/>
                <w:lang w:val="en-US" w:eastAsia="zh-CN"/>
              </w:rPr>
            </w:pPr>
            <w:r>
              <w:rPr>
                <w:rFonts w:hint="default"/>
                <w:lang w:val="en-US" w:eastAsia="zh-CN"/>
              </w:rPr>
              <w:t>银行账户名称： 重庆联合产权交易所集团股份有限公司</w:t>
            </w:r>
          </w:p>
          <w:p w14:paraId="64FD92AD">
            <w:pPr>
              <w:pStyle w:val="2"/>
              <w:numPr>
                <w:ilvl w:val="0"/>
                <w:numId w:val="0"/>
              </w:numPr>
              <w:ind w:left="386" w:leftChars="0"/>
              <w:rPr>
                <w:rFonts w:hint="default"/>
                <w:lang w:val="en-US" w:eastAsia="zh-CN"/>
              </w:rPr>
            </w:pPr>
            <w:r>
              <w:rPr>
                <w:rFonts w:hint="default"/>
                <w:lang w:val="en-US" w:eastAsia="zh-CN"/>
              </w:rPr>
              <w:t>银行支行： 中国建设银行股份有限公司重庆渝中支行</w:t>
            </w:r>
          </w:p>
          <w:p w14:paraId="03402654">
            <w:pPr>
              <w:snapToGri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（需备注：蒲吕滨江新城商品房外墙脱落排危整治（第二次）投标保证金）</w:t>
            </w:r>
          </w:p>
          <w:p w14:paraId="58E01AB2">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5、投标保证金有效期与投标有效期一致。</w:t>
            </w:r>
          </w:p>
          <w:p w14:paraId="55E6777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6、投标保证金的退还</w:t>
            </w:r>
          </w:p>
          <w:p w14:paraId="04F9A363">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中标公示期结束后</w:t>
            </w:r>
            <w:r>
              <w:rPr>
                <w:rFonts w:hint="eastAsia" w:ascii="宋体" w:hAnsi="宋体"/>
                <w:color w:val="000000" w:themeColor="text1"/>
                <w:szCs w:val="21"/>
                <w:highlight w:val="none"/>
                <w:lang w:val="en-US" w:eastAsia="zh-CN"/>
                <w14:textFill>
                  <w14:solidFill>
                    <w14:schemeClr w14:val="tx1"/>
                  </w14:solidFill>
                </w14:textFill>
              </w:rPr>
              <w:t>5个工作</w:t>
            </w:r>
            <w:r>
              <w:rPr>
                <w:rFonts w:hint="eastAsia" w:ascii="宋体" w:hAnsi="宋体"/>
                <w:color w:val="000000" w:themeColor="text1"/>
                <w:szCs w:val="21"/>
                <w:highlight w:val="none"/>
                <w14:textFill>
                  <w14:solidFill>
                    <w14:schemeClr w14:val="tx1"/>
                  </w14:solidFill>
                </w14:textFill>
              </w:rPr>
              <w:t>日内，</w:t>
            </w:r>
            <w:r>
              <w:rPr>
                <w:rFonts w:hint="eastAsia" w:ascii="宋体" w:hAnsi="宋体"/>
                <w:color w:val="000000" w:themeColor="text1"/>
                <w:szCs w:val="21"/>
                <w:highlight w:val="none"/>
                <w:lang w:val="en-US" w:eastAsia="zh-CN"/>
                <w14:textFill>
                  <w14:solidFill>
                    <w14:schemeClr w14:val="tx1"/>
                  </w14:solidFill>
                </w14:textFill>
              </w:rPr>
              <w:t>向</w:t>
            </w:r>
            <w:r>
              <w:rPr>
                <w:rFonts w:hint="eastAsia" w:ascii="宋体" w:hAnsi="宋体"/>
                <w:color w:val="000000" w:themeColor="text1"/>
                <w:szCs w:val="21"/>
                <w:highlight w:val="none"/>
                <w14:textFill>
                  <w14:solidFill>
                    <w14:schemeClr w14:val="tx1"/>
                  </w14:solidFill>
                </w14:textFill>
              </w:rPr>
              <w:t>中标候选人以外的投标人退还投标保证金。</w:t>
            </w:r>
          </w:p>
          <w:p w14:paraId="3B34401B">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施工合同签订后</w:t>
            </w:r>
            <w:r>
              <w:rPr>
                <w:rFonts w:hint="eastAsia" w:ascii="宋体" w:hAnsi="宋体"/>
                <w:color w:val="000000" w:themeColor="text1"/>
                <w:szCs w:val="21"/>
                <w:highlight w:val="none"/>
                <w:lang w:val="en-US" w:eastAsia="zh-CN"/>
                <w14:textFill>
                  <w14:solidFill>
                    <w14:schemeClr w14:val="tx1"/>
                  </w14:solidFill>
                </w14:textFill>
              </w:rPr>
              <w:t>5个工作</w:t>
            </w:r>
            <w:r>
              <w:rPr>
                <w:rFonts w:hint="eastAsia" w:ascii="宋体" w:hAnsi="宋体"/>
                <w:color w:val="000000" w:themeColor="text1"/>
                <w:szCs w:val="21"/>
                <w:highlight w:val="none"/>
                <w14:textFill>
                  <w14:solidFill>
                    <w14:schemeClr w14:val="tx1"/>
                  </w14:solidFill>
                </w14:textFill>
              </w:rPr>
              <w:t>日内，向中标人和其他中标候选人退还投标保证金。</w:t>
            </w:r>
          </w:p>
          <w:p w14:paraId="4EF7F885">
            <w:pPr>
              <w:snapToGrid w:val="0"/>
              <w:spacing w:line="400" w:lineRule="exact"/>
              <w:rPr>
                <w:rFonts w:ascii="黑体" w:hAnsi="宋体" w:eastAsia="黑体" w:cs="MingLiU"/>
                <w:bCs/>
                <w:color w:val="auto"/>
                <w:kern w:val="0"/>
                <w:szCs w:val="21"/>
                <w:highlight w:val="none"/>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投标保证金退还至投标人银行基本帐户。</w:t>
            </w:r>
          </w:p>
        </w:tc>
      </w:tr>
      <w:tr w14:paraId="014C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35" w:type="dxa"/>
            <w:vAlign w:val="center"/>
          </w:tcPr>
          <w:p w14:paraId="29929A57">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500" w:type="dxa"/>
            <w:vAlign w:val="center"/>
          </w:tcPr>
          <w:p w14:paraId="698A001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资格审查资料</w:t>
            </w:r>
          </w:p>
        </w:tc>
        <w:tc>
          <w:tcPr>
            <w:tcW w:w="7189" w:type="dxa"/>
            <w:vAlign w:val="center"/>
          </w:tcPr>
          <w:p w14:paraId="04607F33">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本须知1.4.1项和第3.5项规定提供的资料均</w:t>
            </w:r>
            <w:r>
              <w:rPr>
                <w:rFonts w:hint="eastAsia" w:ascii="宋体" w:hAnsi="宋体" w:cs="宋体"/>
                <w:color w:val="auto"/>
                <w:kern w:val="0"/>
                <w:szCs w:val="21"/>
                <w:highlight w:val="none"/>
                <w:lang w:val="en-US" w:eastAsia="zh-CN"/>
              </w:rPr>
              <w:t>只</w:t>
            </w:r>
            <w:r>
              <w:rPr>
                <w:rFonts w:hint="eastAsia" w:ascii="宋体" w:hAnsi="宋体" w:cs="宋体"/>
                <w:color w:val="auto"/>
                <w:kern w:val="0"/>
                <w:szCs w:val="21"/>
                <w:highlight w:val="none"/>
              </w:rPr>
              <w:t>需提供</w:t>
            </w:r>
            <w:r>
              <w:rPr>
                <w:rFonts w:hint="eastAsia" w:ascii="宋体" w:hAnsi="宋体" w:cs="宋体"/>
                <w:color w:val="auto"/>
                <w:kern w:val="0"/>
                <w:szCs w:val="21"/>
                <w:highlight w:val="none"/>
                <w:lang w:val="en-US" w:eastAsia="zh-CN"/>
              </w:rPr>
              <w:t>复印件（加盖单位公章）</w:t>
            </w:r>
            <w:r>
              <w:rPr>
                <w:rFonts w:hint="eastAsia" w:ascii="宋体" w:hAnsi="宋体" w:cs="宋体"/>
                <w:color w:val="auto"/>
                <w:kern w:val="0"/>
                <w:szCs w:val="21"/>
                <w:highlight w:val="none"/>
              </w:rPr>
              <w:t>。</w:t>
            </w:r>
          </w:p>
        </w:tc>
      </w:tr>
      <w:tr w14:paraId="05D5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35" w:type="dxa"/>
            <w:vAlign w:val="center"/>
          </w:tcPr>
          <w:p w14:paraId="25C9784A">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1500" w:type="dxa"/>
            <w:vAlign w:val="center"/>
          </w:tcPr>
          <w:p w14:paraId="7D33605A">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投标截止日投标资格情况的年份要求</w:t>
            </w:r>
          </w:p>
        </w:tc>
        <w:tc>
          <w:tcPr>
            <w:tcW w:w="7189" w:type="dxa"/>
            <w:vAlign w:val="center"/>
          </w:tcPr>
          <w:p w14:paraId="108E3F51">
            <w:pPr>
              <w:snapToGrid w:val="0"/>
              <w:spacing w:line="360" w:lineRule="auto"/>
              <w:rPr>
                <w:rFonts w:ascii="宋体" w:hAnsi="宋体" w:cs="宋体"/>
                <w:color w:val="auto"/>
                <w:kern w:val="0"/>
                <w:sz w:val="24"/>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2023</w:t>
            </w:r>
            <w:r>
              <w:rPr>
                <w:rFonts w:hint="eastAsia" w:ascii="宋体" w:hAnsi="宋体" w:cs="宋体"/>
                <w:color w:val="auto"/>
                <w:kern w:val="0"/>
                <w:szCs w:val="21"/>
                <w:highlight w:val="none"/>
              </w:rPr>
              <w:t xml:space="preserve"> 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 xml:space="preserve">日起至 </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8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19 </w:t>
            </w:r>
            <w:r>
              <w:rPr>
                <w:rFonts w:hint="eastAsia" w:ascii="宋体" w:hAnsi="宋体" w:cs="宋体"/>
                <w:color w:val="auto"/>
                <w:kern w:val="0"/>
                <w:szCs w:val="21"/>
                <w:highlight w:val="none"/>
              </w:rPr>
              <w:t>日止。</w:t>
            </w:r>
          </w:p>
        </w:tc>
      </w:tr>
      <w:tr w14:paraId="4E46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0857FDA">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500" w:type="dxa"/>
            <w:vAlign w:val="center"/>
          </w:tcPr>
          <w:p w14:paraId="2A2142C3">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是否允许递交备选投标方案</w:t>
            </w:r>
          </w:p>
        </w:tc>
        <w:tc>
          <w:tcPr>
            <w:tcW w:w="7189" w:type="dxa"/>
            <w:vAlign w:val="center"/>
          </w:tcPr>
          <w:p w14:paraId="218CB542">
            <w:pPr>
              <w:snapToGrid w:val="0"/>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不允许</w:t>
            </w:r>
          </w:p>
        </w:tc>
      </w:tr>
      <w:tr w14:paraId="1A72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61838B5">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3.7.3</w:t>
            </w:r>
          </w:p>
        </w:tc>
        <w:tc>
          <w:tcPr>
            <w:tcW w:w="1500" w:type="dxa"/>
            <w:vAlign w:val="center"/>
          </w:tcPr>
          <w:p w14:paraId="22902BE9">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签字盖章要求</w:t>
            </w:r>
          </w:p>
        </w:tc>
        <w:tc>
          <w:tcPr>
            <w:tcW w:w="7189" w:type="dxa"/>
            <w:vAlign w:val="center"/>
          </w:tcPr>
          <w:p w14:paraId="6400EEB4">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投标文件应用不褪色的材料书写或打印，并由投标人的法定代表人或其委托代理人在</w:t>
            </w:r>
            <w:r>
              <w:rPr>
                <w:rFonts w:hint="eastAsia" w:ascii="宋体" w:hAnsi="宋体"/>
                <w:szCs w:val="21"/>
                <w:highlight w:val="none"/>
                <w:lang w:eastAsia="zh-CN"/>
              </w:rPr>
              <w:t>比选文件</w:t>
            </w:r>
            <w:r>
              <w:rPr>
                <w:rFonts w:hint="eastAsia" w:ascii="宋体" w:hAnsi="宋体"/>
                <w:szCs w:val="21"/>
                <w:highlight w:val="none"/>
              </w:rPr>
              <w:t>规定的位置按</w:t>
            </w:r>
            <w:r>
              <w:rPr>
                <w:rFonts w:hint="eastAsia" w:ascii="宋体" w:hAnsi="宋体"/>
                <w:szCs w:val="21"/>
                <w:highlight w:val="none"/>
                <w:lang w:eastAsia="zh-CN"/>
              </w:rPr>
              <w:t>比选文件</w:t>
            </w:r>
            <w:r>
              <w:rPr>
                <w:rFonts w:hint="eastAsia" w:ascii="宋体" w:hAnsi="宋体"/>
                <w:szCs w:val="21"/>
                <w:highlight w:val="none"/>
              </w:rPr>
              <w:t>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14:paraId="29913A91">
            <w:pPr>
              <w:snapToGrid w:val="0"/>
              <w:spacing w:line="400" w:lineRule="exact"/>
              <w:ind w:firstLine="420" w:firstLineChars="200"/>
              <w:rPr>
                <w:rFonts w:ascii="宋体" w:hAnsi="宋体" w:cs="宋体"/>
                <w:color w:val="auto"/>
                <w:kern w:val="0"/>
                <w:szCs w:val="21"/>
                <w:highlight w:val="none"/>
              </w:rPr>
            </w:pPr>
            <w:r>
              <w:rPr>
                <w:rFonts w:hint="eastAsia" w:ascii="宋体" w:hAnsi="宋体"/>
                <w:szCs w:val="21"/>
                <w:highlight w:val="none"/>
              </w:rPr>
              <w:t>未按上述规定执行的，交由评标委员会作否决投标处理。</w:t>
            </w:r>
          </w:p>
        </w:tc>
      </w:tr>
      <w:tr w14:paraId="12F2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35" w:type="dxa"/>
            <w:vAlign w:val="center"/>
          </w:tcPr>
          <w:p w14:paraId="5EB7ACA7">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3.7.4</w:t>
            </w:r>
          </w:p>
        </w:tc>
        <w:tc>
          <w:tcPr>
            <w:tcW w:w="1500" w:type="dxa"/>
            <w:vAlign w:val="center"/>
          </w:tcPr>
          <w:p w14:paraId="264A0178">
            <w:pPr>
              <w:snapToGrid w:val="0"/>
              <w:spacing w:line="400" w:lineRule="exact"/>
              <w:rPr>
                <w:rFonts w:ascii="宋体" w:hAnsi="宋体" w:cs="宋体"/>
                <w:color w:val="auto"/>
                <w:kern w:val="0"/>
                <w:szCs w:val="21"/>
                <w:highlight w:val="none"/>
              </w:rPr>
            </w:pPr>
            <w:r>
              <w:rPr>
                <w:rFonts w:ascii="宋体" w:hAnsi="宋体"/>
                <w:spacing w:val="-6"/>
                <w:kern w:val="0"/>
                <w:szCs w:val="21"/>
                <w:highlight w:val="none"/>
              </w:rPr>
              <w:t>投标文件的份数</w:t>
            </w:r>
          </w:p>
        </w:tc>
        <w:tc>
          <w:tcPr>
            <w:tcW w:w="7189" w:type="dxa"/>
            <w:vAlign w:val="center"/>
          </w:tcPr>
          <w:p w14:paraId="12504A87">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投标文件正本</w:t>
            </w:r>
            <w:r>
              <w:rPr>
                <w:rFonts w:hint="eastAsia" w:ascii="宋体" w:hAnsi="宋体"/>
                <w:kern w:val="0"/>
                <w:szCs w:val="21"/>
                <w:highlight w:val="none"/>
              </w:rPr>
              <w:t>1份、副本2份，电子版形式（</w:t>
            </w:r>
            <w:r>
              <w:rPr>
                <w:rFonts w:hint="eastAsia" w:ascii="宋体" w:hAnsi="宋体"/>
                <w:kern w:val="0"/>
                <w:szCs w:val="21"/>
                <w:highlight w:val="none"/>
                <w:lang w:val="en-US" w:eastAsia="zh-CN"/>
              </w:rPr>
              <w:t>U</w:t>
            </w:r>
            <w:r>
              <w:rPr>
                <w:rFonts w:hint="eastAsia" w:ascii="宋体" w:hAnsi="宋体"/>
                <w:kern w:val="0"/>
                <w:szCs w:val="21"/>
                <w:highlight w:val="none"/>
              </w:rPr>
              <w:t>盘）1份。当副本和正本不一致时，以正本为准。否则由评标委员会作否决投标处理。</w:t>
            </w:r>
          </w:p>
          <w:p w14:paraId="51620601">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电子版形式（</w:t>
            </w:r>
            <w:r>
              <w:rPr>
                <w:rFonts w:hint="eastAsia" w:ascii="宋体" w:hAnsi="宋体"/>
                <w:kern w:val="0"/>
                <w:szCs w:val="21"/>
                <w:highlight w:val="none"/>
                <w:lang w:val="en-US" w:eastAsia="zh-CN"/>
              </w:rPr>
              <w:t>U</w:t>
            </w:r>
            <w:r>
              <w:rPr>
                <w:rFonts w:hint="eastAsia" w:ascii="宋体" w:hAnsi="宋体"/>
                <w:kern w:val="0"/>
                <w:szCs w:val="21"/>
                <w:highlight w:val="none"/>
              </w:rPr>
              <w:t>盘）中的商务部分：应包含商务部分全部excel格式预算表格，工程量清单综合单价分析表无须装订入投标文件纸质版中，但清单项目的综合单价分析表（excel格式）必须刻入</w:t>
            </w:r>
            <w:r>
              <w:rPr>
                <w:rFonts w:hint="eastAsia" w:ascii="宋体" w:hAnsi="宋体"/>
                <w:kern w:val="0"/>
                <w:szCs w:val="21"/>
                <w:highlight w:val="none"/>
                <w:lang w:val="en-US" w:eastAsia="zh-CN"/>
              </w:rPr>
              <w:t>U</w:t>
            </w:r>
            <w:r>
              <w:rPr>
                <w:rFonts w:hint="eastAsia" w:ascii="宋体" w:hAnsi="宋体"/>
                <w:kern w:val="0"/>
                <w:szCs w:val="21"/>
                <w:highlight w:val="none"/>
              </w:rPr>
              <w:t>盘中。</w:t>
            </w:r>
          </w:p>
          <w:p w14:paraId="21C34F5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kern w:val="0"/>
                <w:szCs w:val="21"/>
                <w:highlight w:val="none"/>
              </w:rPr>
              <w:t>注：在核发中标通知书时，中标人应另外补充一式</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1</w:t>
            </w:r>
            <w:r>
              <w:rPr>
                <w:rFonts w:hint="eastAsia" w:ascii="宋体" w:hAnsi="宋体"/>
                <w:kern w:val="0"/>
                <w:szCs w:val="21"/>
                <w:highlight w:val="none"/>
                <w:u w:val="single"/>
              </w:rPr>
              <w:t xml:space="preserve"> </w:t>
            </w:r>
            <w:r>
              <w:rPr>
                <w:rFonts w:hint="eastAsia" w:ascii="宋体" w:hAnsi="宋体"/>
                <w:kern w:val="0"/>
                <w:szCs w:val="21"/>
                <w:highlight w:val="none"/>
              </w:rPr>
              <w:t>份投标文件（除需增加的工程量清单综合单价分析表外，其他内容必须与投标时提交的投标文件相一致）。</w:t>
            </w:r>
          </w:p>
        </w:tc>
      </w:tr>
      <w:tr w14:paraId="2D3E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4C245C2">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3.7.5</w:t>
            </w:r>
          </w:p>
        </w:tc>
        <w:tc>
          <w:tcPr>
            <w:tcW w:w="1500" w:type="dxa"/>
            <w:vAlign w:val="center"/>
          </w:tcPr>
          <w:p w14:paraId="2E1314D8">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装订要求</w:t>
            </w:r>
          </w:p>
        </w:tc>
        <w:tc>
          <w:tcPr>
            <w:tcW w:w="7189" w:type="dxa"/>
            <w:vAlign w:val="center"/>
          </w:tcPr>
          <w:p w14:paraId="27B05868">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本工程应将投标函部分、商务部分、</w:t>
            </w:r>
            <w:r>
              <w:rPr>
                <w:rFonts w:hint="eastAsia" w:ascii="宋体" w:hAnsi="宋体"/>
                <w:szCs w:val="21"/>
                <w:highlight w:val="none"/>
              </w:rPr>
              <w:t>资格审查部分</w:t>
            </w:r>
            <w:r>
              <w:rPr>
                <w:rFonts w:ascii="宋体" w:hAnsi="宋体"/>
                <w:szCs w:val="21"/>
                <w:highlight w:val="none"/>
              </w:rPr>
              <w:t>各自分别装订成册。</w:t>
            </w:r>
          </w:p>
          <w:p w14:paraId="6D7726E0">
            <w:pPr>
              <w:adjustRightInd w:val="0"/>
              <w:snapToGrid w:val="0"/>
              <w:spacing w:line="400" w:lineRule="exact"/>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装订</w:t>
            </w:r>
          </w:p>
          <w:p w14:paraId="3AE50E6C">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）投标函部分的装订要求</w:t>
            </w:r>
          </w:p>
          <w:p w14:paraId="0C20ACA5">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应按照第八章规定格式装订成册，并应编制目录，逐页标注页码。</w:t>
            </w:r>
          </w:p>
          <w:p w14:paraId="5D12F2B0">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00F66755">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应按照第八章规定格式装订成册，并应编制目录，逐页标注页</w:t>
            </w:r>
            <w:r>
              <w:rPr>
                <w:rFonts w:ascii="宋体" w:hAnsi="宋体"/>
                <w:kern w:val="0"/>
                <w:szCs w:val="21"/>
                <w:highlight w:val="none"/>
              </w:rPr>
              <w:t>码。</w:t>
            </w:r>
          </w:p>
          <w:p w14:paraId="44FEBE4F">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）商务部分的装订要求</w:t>
            </w:r>
          </w:p>
          <w:p w14:paraId="6065D5EF">
            <w:pPr>
              <w:adjustRightInd w:val="0"/>
              <w:snapToGrid w:val="0"/>
              <w:spacing w:line="400" w:lineRule="exact"/>
              <w:ind w:firstLine="420" w:firstLineChars="200"/>
              <w:rPr>
                <w:rFonts w:ascii="宋体"/>
                <w:color w:val="auto"/>
                <w:kern w:val="0"/>
                <w:szCs w:val="21"/>
                <w:highlight w:val="none"/>
              </w:rPr>
            </w:pPr>
            <w:r>
              <w:rPr>
                <w:rFonts w:ascii="宋体" w:hAnsi="宋体"/>
                <w:szCs w:val="21"/>
                <w:highlight w:val="none"/>
              </w:rPr>
              <w:t>应按照第八章规定格式装订成册，并应编制目录。</w:t>
            </w:r>
          </w:p>
        </w:tc>
      </w:tr>
      <w:tr w14:paraId="3C4C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35" w:type="dxa"/>
            <w:vAlign w:val="center"/>
          </w:tcPr>
          <w:p w14:paraId="35E54519">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4.1.1</w:t>
            </w:r>
          </w:p>
        </w:tc>
        <w:tc>
          <w:tcPr>
            <w:tcW w:w="1500" w:type="dxa"/>
            <w:vAlign w:val="center"/>
          </w:tcPr>
          <w:p w14:paraId="6728D5D8">
            <w:pPr>
              <w:snapToGrid w:val="0"/>
              <w:spacing w:line="400" w:lineRule="exact"/>
              <w:jc w:val="center"/>
              <w:rPr>
                <w:rFonts w:ascii="宋体" w:hAnsi="宋体" w:cs="MingLiU"/>
                <w:color w:val="auto"/>
                <w:kern w:val="0"/>
                <w:szCs w:val="21"/>
                <w:highlight w:val="none"/>
              </w:rPr>
            </w:pPr>
            <w:r>
              <w:rPr>
                <w:rFonts w:ascii="宋体" w:hAnsi="宋体"/>
                <w:spacing w:val="-6"/>
                <w:kern w:val="0"/>
                <w:szCs w:val="21"/>
                <w:highlight w:val="none"/>
              </w:rPr>
              <w:t>投标文件的密封</w:t>
            </w:r>
          </w:p>
        </w:tc>
        <w:tc>
          <w:tcPr>
            <w:tcW w:w="7189" w:type="dxa"/>
            <w:vAlign w:val="center"/>
          </w:tcPr>
          <w:p w14:paraId="68D4301B">
            <w:pPr>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 xml:space="preserve"> </w:t>
            </w:r>
            <w:r>
              <w:rPr>
                <w:rFonts w:ascii="宋体" w:hAnsi="宋体"/>
                <w:szCs w:val="21"/>
                <w:highlight w:val="none"/>
              </w:rPr>
              <w:t>投标文件袋使用“投标函部分”袋、“商务部分”袋、“</w:t>
            </w:r>
            <w:r>
              <w:rPr>
                <w:rFonts w:hint="eastAsia" w:ascii="宋体" w:hAnsi="宋体"/>
                <w:szCs w:val="21"/>
                <w:highlight w:val="none"/>
              </w:rPr>
              <w:t>资格审查部分</w:t>
            </w:r>
            <w:r>
              <w:rPr>
                <w:rFonts w:ascii="宋体" w:hAnsi="宋体"/>
                <w:szCs w:val="21"/>
                <w:highlight w:val="none"/>
              </w:rPr>
              <w:t>”袋以及“投标文件”大袋。</w:t>
            </w:r>
          </w:p>
          <w:p w14:paraId="3E89185B">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投标函部分装入“投标函部分”袋中，密封并在袋上加盖投标人单位</w:t>
            </w:r>
            <w:r>
              <w:rPr>
                <w:rFonts w:hint="eastAsia" w:ascii="宋体" w:hAnsi="宋体"/>
                <w:szCs w:val="21"/>
                <w:highlight w:val="none"/>
              </w:rPr>
              <w:t>法人</w:t>
            </w:r>
            <w:r>
              <w:rPr>
                <w:rFonts w:ascii="宋体" w:hAnsi="宋体"/>
                <w:szCs w:val="21"/>
                <w:highlight w:val="none"/>
              </w:rPr>
              <w:t>章。</w:t>
            </w:r>
          </w:p>
          <w:p w14:paraId="2FB5E2F5">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w:t>
            </w:r>
            <w:r>
              <w:rPr>
                <w:rFonts w:hint="eastAsia" w:ascii="宋体" w:hAnsi="宋体"/>
                <w:szCs w:val="21"/>
                <w:highlight w:val="none"/>
              </w:rPr>
              <w:t xml:space="preserve"> </w:t>
            </w:r>
            <w:r>
              <w:rPr>
                <w:rFonts w:ascii="宋体" w:hAnsi="宋体"/>
                <w:spacing w:val="4"/>
                <w:szCs w:val="21"/>
                <w:highlight w:val="none"/>
              </w:rPr>
              <w:t>商务部分装入“商务部分”袋中，密封并在袋上加盖投标人单</w:t>
            </w:r>
            <w:r>
              <w:rPr>
                <w:rFonts w:ascii="宋体" w:hAnsi="宋体"/>
                <w:szCs w:val="21"/>
                <w:highlight w:val="none"/>
              </w:rPr>
              <w:t>位</w:t>
            </w:r>
            <w:r>
              <w:rPr>
                <w:rFonts w:hint="eastAsia" w:ascii="宋体" w:hAnsi="宋体"/>
                <w:szCs w:val="21"/>
                <w:highlight w:val="none"/>
              </w:rPr>
              <w:t>法人</w:t>
            </w:r>
            <w:r>
              <w:rPr>
                <w:rFonts w:ascii="宋体" w:hAnsi="宋体"/>
                <w:szCs w:val="21"/>
                <w:highlight w:val="none"/>
              </w:rPr>
              <w:t>章。</w:t>
            </w:r>
          </w:p>
          <w:p w14:paraId="00B0D4CB">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“投标函部分”、“商务部分”等小袋装入“投标文件”大袋中，密封并在大袋上加盖投标人单位</w:t>
            </w:r>
            <w:r>
              <w:rPr>
                <w:rFonts w:hint="eastAsia" w:ascii="宋体" w:hAnsi="宋体"/>
                <w:szCs w:val="21"/>
                <w:highlight w:val="none"/>
              </w:rPr>
              <w:t>法人</w:t>
            </w:r>
            <w:r>
              <w:rPr>
                <w:rFonts w:ascii="宋体" w:hAnsi="宋体"/>
                <w:szCs w:val="21"/>
                <w:highlight w:val="none"/>
              </w:rPr>
              <w:t>章，同时“投标文件”大袋应按本表第4.1.2项的规定写明相应内容。</w:t>
            </w:r>
            <w:r>
              <w:rPr>
                <w:rFonts w:hint="eastAsia" w:ascii="宋体" w:hAnsi="宋体"/>
                <w:szCs w:val="21"/>
                <w:highlight w:val="none"/>
              </w:rPr>
              <w:t>大袋未按要求密封的，</w:t>
            </w:r>
            <w:r>
              <w:rPr>
                <w:rFonts w:hint="eastAsia" w:ascii="宋体" w:hAnsi="宋体"/>
                <w:szCs w:val="21"/>
                <w:highlight w:val="none"/>
                <w:lang w:eastAsia="zh-CN"/>
              </w:rPr>
              <w:t>比选人</w:t>
            </w:r>
            <w:r>
              <w:rPr>
                <w:rFonts w:hint="eastAsia" w:ascii="宋体" w:hAnsi="宋体"/>
                <w:szCs w:val="21"/>
                <w:highlight w:val="none"/>
              </w:rPr>
              <w:t>或代理机构应该拒收。</w:t>
            </w:r>
          </w:p>
          <w:p w14:paraId="56CFFC79">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w:t>
            </w:r>
            <w:r>
              <w:rPr>
                <w:rFonts w:hint="eastAsia" w:ascii="宋体" w:hAnsi="宋体"/>
                <w:szCs w:val="21"/>
                <w:highlight w:val="none"/>
              </w:rPr>
              <w:t>资格审查部分</w:t>
            </w:r>
            <w:r>
              <w:rPr>
                <w:rFonts w:ascii="宋体" w:hAnsi="宋体"/>
                <w:szCs w:val="21"/>
                <w:highlight w:val="none"/>
              </w:rPr>
              <w:t>”单独封装，密封并在袋上加盖投标人单位</w:t>
            </w:r>
            <w:r>
              <w:rPr>
                <w:rFonts w:hint="eastAsia" w:ascii="宋体" w:hAnsi="宋体"/>
                <w:szCs w:val="21"/>
                <w:highlight w:val="none"/>
              </w:rPr>
              <w:t>法人</w:t>
            </w:r>
            <w:r>
              <w:rPr>
                <w:rFonts w:ascii="宋体" w:hAnsi="宋体"/>
                <w:szCs w:val="21"/>
                <w:highlight w:val="none"/>
              </w:rPr>
              <w:t>章，同时应按本表第4.1.2项的规定写明相应内容。</w:t>
            </w:r>
          </w:p>
          <w:p w14:paraId="3C79860D">
            <w:pPr>
              <w:adjustRightInd w:val="0"/>
              <w:snapToGrid w:val="0"/>
              <w:spacing w:line="400" w:lineRule="exact"/>
              <w:ind w:firstLine="420" w:firstLineChars="200"/>
              <w:rPr>
                <w:rFonts w:ascii="宋体" w:hAnsi="宋体"/>
                <w:color w:val="auto"/>
                <w:szCs w:val="21"/>
                <w:highlight w:val="none"/>
              </w:rPr>
            </w:pPr>
            <w:r>
              <w:rPr>
                <w:rFonts w:hint="eastAsia" w:ascii="宋体" w:hAnsi="宋体"/>
                <w:szCs w:val="21"/>
                <w:highlight w:val="none"/>
              </w:rPr>
              <w:t>注：“投标函部分”袋、“商务部分”袋只为方便投标文件分装，不作为判定密封合格与否的条件。但为了方便开标，请各投标人主动配合，按要求分装。</w:t>
            </w:r>
          </w:p>
        </w:tc>
      </w:tr>
      <w:tr w14:paraId="7E3A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2D67122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1500" w:type="dxa"/>
            <w:vAlign w:val="center"/>
          </w:tcPr>
          <w:p w14:paraId="643FC64D">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7189" w:type="dxa"/>
            <w:vAlign w:val="center"/>
          </w:tcPr>
          <w:p w14:paraId="6AFE8E5F">
            <w:pPr>
              <w:snapToGrid w:val="0"/>
              <w:spacing w:line="440" w:lineRule="exact"/>
              <w:ind w:firstLine="420" w:firstLineChars="200"/>
              <w:jc w:val="left"/>
              <w:rPr>
                <w:rFonts w:ascii="宋体" w:hAnsi="宋体"/>
                <w:color w:val="auto"/>
                <w:kern w:val="0"/>
                <w:highlight w:val="none"/>
              </w:rPr>
            </w:pPr>
            <w:r>
              <w:rPr>
                <w:rFonts w:ascii="宋体" w:hAnsi="宋体"/>
                <w:kern w:val="0"/>
                <w:szCs w:val="21"/>
                <w:highlight w:val="none"/>
              </w:rPr>
              <w:t>应在“投标文件”大袋和“</w:t>
            </w:r>
            <w:r>
              <w:rPr>
                <w:rFonts w:hint="eastAsia" w:ascii="宋体" w:hAnsi="宋体"/>
                <w:kern w:val="0"/>
                <w:szCs w:val="21"/>
                <w:highlight w:val="none"/>
              </w:rPr>
              <w:t>资格审查部分</w:t>
            </w:r>
            <w:r>
              <w:rPr>
                <w:rFonts w:ascii="宋体" w:hAnsi="宋体"/>
                <w:kern w:val="0"/>
                <w:szCs w:val="21"/>
                <w:highlight w:val="none"/>
              </w:rPr>
              <w:t>”封套上写明如下内容</w:t>
            </w:r>
            <w:r>
              <w:rPr>
                <w:rFonts w:hint="eastAsia" w:ascii="宋体" w:hAnsi="宋体"/>
                <w:color w:val="auto"/>
                <w:kern w:val="0"/>
                <w:highlight w:val="none"/>
              </w:rPr>
              <w:t>：</w:t>
            </w:r>
          </w:p>
          <w:p w14:paraId="0CD43B62">
            <w:pPr>
              <w:snapToGrid w:val="0"/>
              <w:spacing w:line="440" w:lineRule="exact"/>
              <w:ind w:firstLine="420" w:firstLineChars="200"/>
              <w:jc w:val="left"/>
              <w:rPr>
                <w:rFonts w:hint="eastAsia" w:ascii="宋体" w:hAnsi="宋体" w:cs="Times New Roman"/>
                <w:snapToGrid w:val="0"/>
                <w:kern w:val="0"/>
                <w:szCs w:val="21"/>
                <w:u w:val="single"/>
                <w:lang w:eastAsia="zh-CN"/>
              </w:rPr>
            </w:pPr>
            <w:r>
              <w:rPr>
                <w:rFonts w:hint="eastAsia" w:ascii="宋体" w:hAnsi="宋体"/>
                <w:color w:val="auto"/>
                <w:kern w:val="0"/>
                <w:highlight w:val="none"/>
              </w:rPr>
              <w:t>比选人的地址：</w:t>
            </w:r>
            <w:r>
              <w:rPr>
                <w:rFonts w:hint="eastAsia" w:ascii="宋体" w:hAnsi="宋体" w:cs="Times New Roman"/>
                <w:snapToGrid w:val="0"/>
                <w:kern w:val="0"/>
                <w:szCs w:val="21"/>
                <w:u w:val="single"/>
                <w:lang w:eastAsia="zh-CN"/>
              </w:rPr>
              <w:t>重庆市铜梁区龙安大道科创中心</w:t>
            </w:r>
          </w:p>
          <w:p w14:paraId="30909081">
            <w:pPr>
              <w:snapToGrid w:val="0"/>
              <w:spacing w:line="440" w:lineRule="exact"/>
              <w:ind w:firstLine="420" w:firstLineChars="200"/>
              <w:jc w:val="left"/>
              <w:rPr>
                <w:rFonts w:ascii="宋体" w:hAnsi="宋体" w:cs="宋体"/>
                <w:color w:val="auto"/>
                <w:kern w:val="0"/>
                <w:szCs w:val="21"/>
                <w:highlight w:val="none"/>
                <w:u w:val="single"/>
              </w:rPr>
            </w:pPr>
            <w:r>
              <w:rPr>
                <w:rFonts w:hint="eastAsia" w:ascii="宋体" w:hAnsi="宋体"/>
                <w:color w:val="auto"/>
                <w:kern w:val="0"/>
                <w:highlight w:val="none"/>
              </w:rPr>
              <w:t>比选人名称：</w:t>
            </w:r>
            <w:r>
              <w:rPr>
                <w:rFonts w:hint="eastAsia" w:ascii="宋体" w:hAnsi="宋体" w:cs="MingLiU"/>
                <w:snapToGrid w:val="0"/>
                <w:color w:val="auto"/>
                <w:kern w:val="0"/>
                <w:szCs w:val="21"/>
                <w:highlight w:val="none"/>
                <w:u w:val="single"/>
                <w:lang w:eastAsia="zh-CN"/>
              </w:rPr>
              <w:t>重庆绅鹏实业开发有限公司</w:t>
            </w:r>
          </w:p>
          <w:p w14:paraId="317C2D64">
            <w:pPr>
              <w:snapToGrid w:val="0"/>
              <w:spacing w:line="440" w:lineRule="exact"/>
              <w:ind w:firstLine="420" w:firstLineChars="200"/>
              <w:jc w:val="left"/>
              <w:rPr>
                <w:rFonts w:ascii="宋体" w:hAnsi="宋体"/>
                <w:snapToGrid w:val="0"/>
                <w:color w:val="auto"/>
                <w:kern w:val="0"/>
                <w:highlight w:val="none"/>
                <w:u w:val="single"/>
              </w:rPr>
            </w:pPr>
            <w:r>
              <w:rPr>
                <w:rFonts w:hint="eastAsia" w:ascii="宋体" w:hAnsi="宋体"/>
                <w:snapToGrid w:val="0"/>
                <w:kern w:val="0"/>
                <w:szCs w:val="21"/>
                <w:u w:val="single"/>
                <w:lang w:eastAsia="zh-CN"/>
              </w:rPr>
              <w:t>蒲吕滨江新城商品房外墙脱落排危整治项目（第二次）</w:t>
            </w:r>
            <w:r>
              <w:rPr>
                <w:rFonts w:hint="eastAsia" w:ascii="宋体" w:hAnsi="宋体"/>
                <w:color w:val="auto"/>
                <w:kern w:val="0"/>
                <w:highlight w:val="none"/>
              </w:rPr>
              <w:t>投标文件</w:t>
            </w:r>
          </w:p>
          <w:p w14:paraId="7A547D61">
            <w:pPr>
              <w:snapToGrid w:val="0"/>
              <w:spacing w:line="440" w:lineRule="exact"/>
              <w:ind w:firstLine="420" w:firstLineChars="200"/>
              <w:jc w:val="left"/>
              <w:rPr>
                <w:rFonts w:ascii="宋体" w:hAnsi="宋体"/>
                <w:color w:val="auto"/>
                <w:kern w:val="0"/>
                <w:highlight w:val="none"/>
              </w:rPr>
            </w:pPr>
            <w:r>
              <w:rPr>
                <w:rFonts w:hint="eastAsia" w:ascii="宋体" w:hAnsi="宋体"/>
                <w:color w:val="auto"/>
                <w:kern w:val="0"/>
                <w:highlight w:val="none"/>
              </w:rPr>
              <w:t xml:space="preserve">在  </w:t>
            </w:r>
            <w:r>
              <w:rPr>
                <w:rFonts w:hint="eastAsia" w:ascii="宋体" w:hAnsi="宋体"/>
                <w:color w:val="auto"/>
                <w:highlight w:val="none"/>
              </w:rPr>
              <w:t>年 月   日 时  分（规定的开标时间）前</w:t>
            </w:r>
            <w:r>
              <w:rPr>
                <w:rFonts w:hint="eastAsia" w:ascii="宋体" w:hAnsi="宋体"/>
                <w:color w:val="auto"/>
                <w:kern w:val="0"/>
                <w:highlight w:val="none"/>
              </w:rPr>
              <w:t>不得开启。</w:t>
            </w:r>
          </w:p>
        </w:tc>
      </w:tr>
      <w:tr w14:paraId="4F43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657DDB1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4.2.2</w:t>
            </w:r>
          </w:p>
        </w:tc>
        <w:tc>
          <w:tcPr>
            <w:tcW w:w="1500" w:type="dxa"/>
            <w:vAlign w:val="center"/>
          </w:tcPr>
          <w:p w14:paraId="67E4567D">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递交投标文件的时间和地点</w:t>
            </w:r>
          </w:p>
        </w:tc>
        <w:tc>
          <w:tcPr>
            <w:tcW w:w="7189" w:type="dxa"/>
            <w:vAlign w:val="center"/>
          </w:tcPr>
          <w:p w14:paraId="26056785">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19 </w:t>
            </w:r>
            <w:r>
              <w:rPr>
                <w:rFonts w:hint="eastAsia" w:ascii="宋体" w:hAnsi="宋体" w:cs="宋体"/>
                <w:color w:val="auto"/>
                <w:kern w:val="0"/>
                <w:szCs w:val="21"/>
                <w:highlight w:val="none"/>
              </w:rPr>
              <w:t>日</w:t>
            </w:r>
            <w:r>
              <w:rPr>
                <w:rFonts w:hint="eastAsia" w:ascii="宋体" w:hAnsi="宋体"/>
                <w:color w:val="auto"/>
                <w:highlight w:val="none"/>
                <w:lang w:val="en-US" w:eastAsia="zh-CN"/>
              </w:rPr>
              <w:t>9</w:t>
            </w:r>
            <w:r>
              <w:rPr>
                <w:rFonts w:hint="eastAsia" w:ascii="宋体" w:hAnsi="宋体" w:cs="宋体"/>
                <w:color w:val="auto"/>
                <w:kern w:val="0"/>
                <w:szCs w:val="21"/>
                <w:highlight w:val="none"/>
              </w:rPr>
              <w:t>时</w:t>
            </w:r>
            <w:r>
              <w:rPr>
                <w:rFonts w:hint="eastAsia" w:ascii="宋体" w:hAnsi="宋体"/>
                <w:color w:val="auto"/>
                <w:highlight w:val="none"/>
                <w:lang w:val="en-US" w:eastAsia="zh-CN"/>
              </w:rPr>
              <w:t>00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19 </w:t>
            </w:r>
            <w:r>
              <w:rPr>
                <w:rFonts w:hint="eastAsia" w:ascii="宋体" w:hAnsi="宋体" w:cs="宋体"/>
                <w:color w:val="auto"/>
                <w:kern w:val="0"/>
                <w:szCs w:val="21"/>
                <w:highlight w:val="none"/>
              </w:rPr>
              <w:t>日</w:t>
            </w:r>
            <w:r>
              <w:rPr>
                <w:rFonts w:hint="eastAsia" w:ascii="宋体" w:hAnsi="宋体"/>
                <w:color w:val="auto"/>
                <w:highlight w:val="none"/>
                <w:lang w:val="en-US" w:eastAsia="zh-CN"/>
              </w:rPr>
              <w:t>9</w:t>
            </w:r>
            <w:r>
              <w:rPr>
                <w:rFonts w:hint="eastAsia" w:ascii="宋体" w:hAnsi="宋体" w:cs="宋体"/>
                <w:color w:val="auto"/>
                <w:kern w:val="0"/>
                <w:szCs w:val="21"/>
                <w:highlight w:val="none"/>
              </w:rPr>
              <w:t>时</w:t>
            </w:r>
            <w:r>
              <w:rPr>
                <w:rFonts w:hint="eastAsia" w:ascii="宋体" w:hAnsi="宋体"/>
                <w:color w:val="auto"/>
                <w:highlight w:val="none"/>
                <w:lang w:val="en-US" w:eastAsia="zh-CN"/>
              </w:rPr>
              <w:t>30</w:t>
            </w:r>
            <w:r>
              <w:rPr>
                <w:rFonts w:hint="eastAsia" w:ascii="宋体" w:hAnsi="宋体" w:cs="宋体"/>
                <w:color w:val="auto"/>
                <w:kern w:val="0"/>
                <w:szCs w:val="21"/>
                <w:highlight w:val="none"/>
              </w:rPr>
              <w:t xml:space="preserve">分（北京时间）  </w:t>
            </w:r>
          </w:p>
          <w:p w14:paraId="6B2B5B26">
            <w:pPr>
              <w:spacing w:line="300" w:lineRule="exact"/>
              <w:rPr>
                <w:rFonts w:hint="default" w:ascii="宋体" w:hAnsi="宋体" w:eastAsia="宋体" w:cs="MingLiU"/>
                <w:snapToGrid w:val="0"/>
                <w:color w:val="auto"/>
                <w:kern w:val="0"/>
                <w:szCs w:val="21"/>
                <w:highlight w:val="none"/>
                <w:lang w:val="en-US" w:eastAsia="zh-CN"/>
              </w:rPr>
            </w:pPr>
            <w:r>
              <w:rPr>
                <w:rFonts w:hint="eastAsia" w:ascii="宋体" w:hAnsi="宋体" w:cs="宋体"/>
                <w:color w:val="auto"/>
                <w:kern w:val="0"/>
                <w:szCs w:val="21"/>
                <w:highlight w:val="none"/>
              </w:rPr>
              <w:t>地点：重庆市公共资源交易中心铜梁分中心</w:t>
            </w:r>
            <w:r>
              <w:rPr>
                <w:rFonts w:hint="eastAsia" w:ascii="宋体" w:hAnsi="宋体" w:cs="宋体"/>
                <w:color w:val="auto"/>
                <w:kern w:val="0"/>
                <w:szCs w:val="21"/>
                <w:highlight w:val="none"/>
                <w:lang w:val="en-US" w:eastAsia="zh-CN"/>
              </w:rPr>
              <w:t>铜梁区开标室216</w:t>
            </w:r>
          </w:p>
        </w:tc>
      </w:tr>
      <w:tr w14:paraId="04AD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033107B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1500" w:type="dxa"/>
            <w:vAlign w:val="center"/>
          </w:tcPr>
          <w:p w14:paraId="5719BC3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是否退还投标文件</w:t>
            </w:r>
          </w:p>
        </w:tc>
        <w:tc>
          <w:tcPr>
            <w:tcW w:w="7189" w:type="dxa"/>
            <w:vAlign w:val="center"/>
          </w:tcPr>
          <w:p w14:paraId="6F6D5F11">
            <w:pPr>
              <w:snapToGrid w:val="0"/>
              <w:spacing w:line="400" w:lineRule="exact"/>
              <w:rPr>
                <w:rFonts w:ascii="宋体" w:hAnsi="宋体" w:cs="宋体"/>
                <w:color w:val="auto"/>
                <w:kern w:val="0"/>
                <w:szCs w:val="21"/>
                <w:highlight w:val="none"/>
              </w:rPr>
            </w:pPr>
            <w:r>
              <w:rPr>
                <w:rFonts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eq \o\ac(□,</w:instrText>
            </w:r>
            <w:r>
              <w:rPr>
                <w:rFonts w:hint="eastAsia" w:ascii="宋体" w:hAnsi="宋体" w:cs="宋体"/>
                <w:color w:val="auto"/>
                <w:kern w:val="0"/>
                <w:position w:val="1"/>
                <w:sz w:val="24"/>
                <w:highlight w:val="none"/>
              </w:rPr>
              <w:instrText xml:space="preserve">√</w:instrText>
            </w:r>
            <w:r>
              <w:rPr>
                <w:rFonts w:hint="eastAsia" w:ascii="宋体" w:hAnsi="宋体" w:cs="宋体"/>
                <w:color w:val="auto"/>
                <w:kern w:val="0"/>
                <w:sz w:val="24"/>
                <w:highlight w:val="none"/>
              </w:rPr>
              <w:instrText xml:space="preserve">)</w:instrText>
            </w:r>
            <w:r>
              <w:rPr>
                <w:rFonts w:ascii="宋体" w:hAnsi="宋体" w:cs="宋体"/>
                <w:color w:val="auto"/>
                <w:kern w:val="0"/>
                <w:sz w:val="24"/>
                <w:highlight w:val="none"/>
              </w:rPr>
              <w:fldChar w:fldCharType="end"/>
            </w:r>
            <w:r>
              <w:rPr>
                <w:rFonts w:hint="eastAsia" w:ascii="宋体" w:hAnsi="宋体" w:cs="宋体"/>
                <w:color w:val="auto"/>
                <w:kern w:val="0"/>
                <w:szCs w:val="21"/>
                <w:highlight w:val="none"/>
              </w:rPr>
              <w:t>否</w:t>
            </w:r>
          </w:p>
        </w:tc>
      </w:tr>
      <w:tr w14:paraId="5CB1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217FB47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1500" w:type="dxa"/>
            <w:vAlign w:val="center"/>
          </w:tcPr>
          <w:p w14:paraId="57E1EE3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开标时间和地点</w:t>
            </w:r>
          </w:p>
        </w:tc>
        <w:tc>
          <w:tcPr>
            <w:tcW w:w="7189" w:type="dxa"/>
            <w:vAlign w:val="center"/>
          </w:tcPr>
          <w:p w14:paraId="003A1081">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19</w:t>
            </w:r>
            <w:bookmarkStart w:id="1165" w:name="_GoBack"/>
            <w:bookmarkEnd w:id="1165"/>
            <w:r>
              <w:rPr>
                <w:rFonts w:hint="eastAsia" w:ascii="宋体" w:hAnsi="宋体" w:cs="宋体"/>
                <w:color w:val="auto"/>
                <w:kern w:val="0"/>
                <w:szCs w:val="21"/>
                <w:highlight w:val="none"/>
              </w:rPr>
              <w:t>日</w:t>
            </w:r>
            <w:r>
              <w:rPr>
                <w:rFonts w:hint="eastAsia" w:ascii="宋体" w:hAnsi="宋体"/>
                <w:color w:val="auto"/>
                <w:highlight w:val="none"/>
                <w:lang w:val="en-US" w:eastAsia="zh-CN"/>
              </w:rPr>
              <w:t>9</w:t>
            </w:r>
            <w:r>
              <w:rPr>
                <w:rFonts w:hint="eastAsia" w:ascii="宋体" w:hAnsi="宋体" w:cs="宋体"/>
                <w:color w:val="auto"/>
                <w:kern w:val="0"/>
                <w:szCs w:val="21"/>
                <w:highlight w:val="none"/>
              </w:rPr>
              <w:t>时</w:t>
            </w:r>
            <w:r>
              <w:rPr>
                <w:rFonts w:hint="eastAsia" w:ascii="宋体" w:hAnsi="宋体"/>
                <w:color w:val="auto"/>
                <w:highlight w:val="none"/>
                <w:lang w:val="en-US" w:eastAsia="zh-CN"/>
              </w:rPr>
              <w:t xml:space="preserve"> 30 </w:t>
            </w:r>
            <w:r>
              <w:rPr>
                <w:rFonts w:hint="eastAsia" w:ascii="宋体" w:hAnsi="宋体" w:cs="宋体"/>
                <w:color w:val="auto"/>
                <w:kern w:val="0"/>
                <w:szCs w:val="21"/>
                <w:highlight w:val="none"/>
              </w:rPr>
              <w:t>分（北京时间）</w:t>
            </w:r>
          </w:p>
          <w:p w14:paraId="3F30C90B">
            <w:pPr>
              <w:spacing w:line="300" w:lineRule="exact"/>
              <w:ind w:firstLine="420" w:firstLineChars="200"/>
              <w:rPr>
                <w:rFonts w:hint="eastAsia" w:ascii="宋体" w:hAnsi="宋体" w:eastAsia="宋体" w:cs="MingLiU"/>
                <w:snapToGrid w:val="0"/>
                <w:color w:val="auto"/>
                <w:kern w:val="0"/>
                <w:szCs w:val="21"/>
                <w:highlight w:val="none"/>
                <w:lang w:val="en-US" w:eastAsia="zh-CN"/>
              </w:rPr>
            </w:pPr>
            <w:r>
              <w:rPr>
                <w:rFonts w:hint="eastAsia" w:ascii="宋体" w:hAnsi="宋体" w:cs="宋体"/>
                <w:color w:val="auto"/>
                <w:kern w:val="0"/>
                <w:szCs w:val="21"/>
                <w:highlight w:val="none"/>
              </w:rPr>
              <w:t>开标地点：重庆市公共资源交易中心铜梁分中心</w:t>
            </w:r>
            <w:r>
              <w:rPr>
                <w:rFonts w:hint="eastAsia" w:ascii="宋体" w:hAnsi="宋体" w:cs="宋体"/>
                <w:color w:val="auto"/>
                <w:kern w:val="0"/>
                <w:szCs w:val="21"/>
                <w:highlight w:val="none"/>
                <w:lang w:val="en-US" w:eastAsia="zh-CN"/>
              </w:rPr>
              <w:t>铜梁区开标室216</w:t>
            </w:r>
          </w:p>
        </w:tc>
      </w:tr>
      <w:tr w14:paraId="08DB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546EEA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500" w:type="dxa"/>
            <w:vAlign w:val="center"/>
          </w:tcPr>
          <w:p w14:paraId="385AC30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7189" w:type="dxa"/>
            <w:vAlign w:val="center"/>
          </w:tcPr>
          <w:p w14:paraId="73E9D050">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14:paraId="2230F81A">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核验参加开标会议的投标人的法定代表人或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w:t>
            </w:r>
            <w:r>
              <w:rPr>
                <w:rFonts w:ascii="宋体" w:hAnsi="宋体"/>
                <w:szCs w:val="21"/>
                <w:highlight w:val="none"/>
              </w:rPr>
              <w:t>（原件），以确认其身份合法有效；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14:paraId="28CFC9F0">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 xml:space="preserve"> </w:t>
            </w:r>
            <w:r>
              <w:rPr>
                <w:rFonts w:ascii="宋体" w:hAnsi="宋体"/>
                <w:szCs w:val="21"/>
                <w:highlight w:val="none"/>
              </w:rPr>
              <w:t>宣布开标纪律</w:t>
            </w:r>
            <w:r>
              <w:rPr>
                <w:rFonts w:hint="eastAsia" w:ascii="宋体" w:hAnsi="宋体"/>
                <w:szCs w:val="21"/>
                <w:highlight w:val="none"/>
              </w:rPr>
              <w:t>。</w:t>
            </w:r>
          </w:p>
          <w:p w14:paraId="032F3333">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3. 宣布开标人、唱标人、记录人、监标人等有关人员姓名</w:t>
            </w:r>
            <w:r>
              <w:rPr>
                <w:rFonts w:hint="eastAsia" w:ascii="宋体" w:hAnsi="宋体"/>
                <w:szCs w:val="21"/>
                <w:highlight w:val="none"/>
              </w:rPr>
              <w:t>。</w:t>
            </w:r>
          </w:p>
          <w:p w14:paraId="49BCAEDA">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4. 公布在投标截止时间前递交投标文件的投标人名称</w:t>
            </w:r>
            <w:r>
              <w:rPr>
                <w:rFonts w:hint="eastAsia" w:ascii="宋体" w:hAnsi="宋体"/>
                <w:szCs w:val="21"/>
                <w:highlight w:val="none"/>
              </w:rPr>
              <w:t>。</w:t>
            </w:r>
          </w:p>
          <w:p w14:paraId="688CA0CF">
            <w:pPr>
              <w:snapToGrid w:val="0"/>
              <w:spacing w:line="400" w:lineRule="exact"/>
              <w:ind w:firstLine="420" w:firstLineChars="200"/>
              <w:rPr>
                <w:rFonts w:ascii="宋体" w:hAnsi="宋体"/>
                <w:szCs w:val="21"/>
                <w:highlight w:val="none"/>
              </w:rPr>
            </w:pPr>
            <w:r>
              <w:rPr>
                <w:rFonts w:ascii="宋体" w:hAnsi="宋体"/>
                <w:szCs w:val="21"/>
                <w:highlight w:val="none"/>
              </w:rPr>
              <w:t xml:space="preserve">5. </w:t>
            </w:r>
            <w:r>
              <w:rPr>
                <w:rFonts w:hint="eastAsia" w:ascii="宋体" w:hAnsi="宋体"/>
                <w:szCs w:val="21"/>
                <w:highlight w:val="none"/>
              </w:rPr>
              <w:t>投标文件的密封检查：投标人可对自己的投标文件封装情况进行检查，以确认其投标文件密封完好。</w:t>
            </w:r>
          </w:p>
          <w:p w14:paraId="33164E7C">
            <w:pPr>
              <w:snapToGrid w:val="0"/>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6. 汇总投标保证金缴纳情况</w:t>
            </w:r>
            <w:r>
              <w:rPr>
                <w:rFonts w:hint="eastAsia" w:ascii="宋体" w:hAnsi="宋体"/>
                <w:szCs w:val="21"/>
                <w:highlight w:val="none"/>
                <w:lang w:eastAsia="zh-CN"/>
              </w:rPr>
              <w:t>。</w:t>
            </w:r>
          </w:p>
          <w:p w14:paraId="72BBF03C">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1</w:t>
            </w:r>
            <w:r>
              <w:rPr>
                <w:rFonts w:hint="eastAsia" w:ascii="宋体" w:hAnsi="宋体"/>
                <w:szCs w:val="21"/>
                <w:highlight w:val="none"/>
              </w:rPr>
              <w:t xml:space="preserve"> 投标保证金采用现金转账形式的：</w:t>
            </w:r>
          </w:p>
          <w:p w14:paraId="7FB0A18B">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展示投标保证金缴纳情况，未在规定时间将投标保证金打入指定账户的，在开标记录表上记录并交由评标委员会作否决投标处理；保证金来款账户非基本账户的，交由评标委员会作否决投标处理；未进行基本账户登记的，投标人须在开标会现场提交企业基本账户开户证明文件复印件供评标委员会核验。</w:t>
            </w:r>
          </w:p>
          <w:p w14:paraId="302AB2A7">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2</w:t>
            </w:r>
            <w:r>
              <w:rPr>
                <w:rFonts w:hint="eastAsia" w:ascii="宋体" w:hAnsi="宋体"/>
                <w:szCs w:val="21"/>
                <w:highlight w:val="none"/>
              </w:rPr>
              <w:t>汇总所有投标人投标保证金缴纳情况。</w:t>
            </w:r>
          </w:p>
          <w:p w14:paraId="41BB9A94">
            <w:pPr>
              <w:snapToGrid w:val="0"/>
              <w:spacing w:line="400" w:lineRule="exact"/>
              <w:ind w:firstLine="420" w:firstLineChars="200"/>
              <w:rPr>
                <w:rFonts w:ascii="宋体" w:hAnsi="宋体"/>
                <w:szCs w:val="21"/>
                <w:highlight w:val="none"/>
              </w:rPr>
            </w:pPr>
            <w:r>
              <w:rPr>
                <w:rFonts w:ascii="宋体" w:hAnsi="宋体"/>
                <w:szCs w:val="21"/>
                <w:highlight w:val="none"/>
              </w:rPr>
              <w:t>7. 设有最高限价的，公布最高限价</w:t>
            </w:r>
            <w:r>
              <w:rPr>
                <w:rFonts w:hint="eastAsia" w:ascii="宋体" w:hAnsi="宋体"/>
                <w:szCs w:val="21"/>
                <w:highlight w:val="none"/>
              </w:rPr>
              <w:t>。</w:t>
            </w:r>
          </w:p>
          <w:p w14:paraId="44C2964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逐单位随机开启投标文件。开启</w:t>
            </w:r>
            <w:r>
              <w:rPr>
                <w:rFonts w:hint="eastAsia" w:ascii="宋体" w:hAnsi="宋体"/>
                <w:szCs w:val="21"/>
                <w:highlight w:val="none"/>
              </w:rPr>
              <w:t>资格审查部分</w:t>
            </w:r>
            <w:r>
              <w:rPr>
                <w:rFonts w:ascii="宋体" w:hAnsi="宋体"/>
                <w:szCs w:val="21"/>
                <w:highlight w:val="none"/>
              </w:rPr>
              <w:t>袋、投标文件大袋及投标函部分袋、商务部分袋；公布投标人名称、标段名称、投标报价、质量要求、工期及其他内容并记录在案</w:t>
            </w:r>
            <w:r>
              <w:rPr>
                <w:rFonts w:hint="eastAsia" w:ascii="宋体" w:hAnsi="宋体"/>
                <w:szCs w:val="21"/>
                <w:highlight w:val="none"/>
              </w:rPr>
              <w:t>。</w:t>
            </w:r>
          </w:p>
          <w:p w14:paraId="583678DE">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投标人代表、</w:t>
            </w:r>
            <w:r>
              <w:rPr>
                <w:rFonts w:hint="eastAsia" w:ascii="宋体" w:hAnsi="宋体"/>
                <w:szCs w:val="21"/>
                <w:highlight w:val="none"/>
                <w:lang w:eastAsia="zh-CN"/>
              </w:rPr>
              <w:t>比选人</w:t>
            </w:r>
            <w:r>
              <w:rPr>
                <w:rFonts w:ascii="宋体" w:hAnsi="宋体"/>
                <w:szCs w:val="21"/>
                <w:highlight w:val="none"/>
              </w:rPr>
              <w:t>代表、监标人、记录人等有关人员在开标记录上签字确认</w:t>
            </w:r>
            <w:r>
              <w:rPr>
                <w:rFonts w:hint="eastAsia" w:ascii="宋体" w:hAnsi="宋体"/>
                <w:szCs w:val="21"/>
                <w:highlight w:val="none"/>
              </w:rPr>
              <w:t>。</w:t>
            </w:r>
          </w:p>
          <w:p w14:paraId="6273ECA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szCs w:val="21"/>
                <w:highlight w:val="none"/>
              </w:rPr>
              <w:t>1</w:t>
            </w:r>
            <w:r>
              <w:rPr>
                <w:rFonts w:hint="eastAsia" w:ascii="宋体" w:hAnsi="宋体"/>
                <w:szCs w:val="21"/>
                <w:highlight w:val="none"/>
                <w:lang w:val="en-US" w:eastAsia="zh-CN"/>
              </w:rPr>
              <w:t>0</w:t>
            </w:r>
            <w:r>
              <w:rPr>
                <w:rFonts w:ascii="宋体" w:hAnsi="宋体"/>
                <w:szCs w:val="21"/>
                <w:highlight w:val="none"/>
              </w:rPr>
              <w:t>. 开标结束</w:t>
            </w:r>
            <w:r>
              <w:rPr>
                <w:rFonts w:ascii="宋体" w:hAnsi="宋体"/>
                <w:color w:val="auto"/>
                <w:szCs w:val="21"/>
                <w:highlight w:val="none"/>
              </w:rPr>
              <w:t>。</w:t>
            </w:r>
          </w:p>
        </w:tc>
      </w:tr>
      <w:tr w14:paraId="2B5E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13A6A0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500" w:type="dxa"/>
            <w:vAlign w:val="center"/>
          </w:tcPr>
          <w:p w14:paraId="17025DA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评标委员会的组建</w:t>
            </w:r>
          </w:p>
        </w:tc>
        <w:tc>
          <w:tcPr>
            <w:tcW w:w="7189" w:type="dxa"/>
            <w:vAlign w:val="center"/>
          </w:tcPr>
          <w:p w14:paraId="34300821">
            <w:pPr>
              <w:autoSpaceDE w:val="0"/>
              <w:autoSpaceDN w:val="0"/>
              <w:adjustRightInd w:val="0"/>
              <w:snapToGrid w:val="0"/>
              <w:spacing w:line="400" w:lineRule="exact"/>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1．评标委员会构成：</w:t>
            </w:r>
            <w:r>
              <w:rPr>
                <w:rFonts w:hint="eastAsia" w:ascii="宋体" w:hAnsi="宋体"/>
                <w:color w:val="auto"/>
                <w:kern w:val="0"/>
                <w:szCs w:val="21"/>
                <w:highlight w:val="none"/>
                <w:u w:val="single"/>
              </w:rPr>
              <w:t>3</w:t>
            </w:r>
            <w:r>
              <w:rPr>
                <w:rFonts w:hint="eastAsia" w:ascii="宋体" w:hAnsi="宋体"/>
                <w:color w:val="auto"/>
                <w:kern w:val="0"/>
                <w:szCs w:val="21"/>
                <w:highlight w:val="none"/>
              </w:rPr>
              <w:t>人；</w:t>
            </w:r>
          </w:p>
          <w:p w14:paraId="23777F49">
            <w:pPr>
              <w:autoSpaceDE w:val="0"/>
              <w:autoSpaceDN w:val="0"/>
              <w:adjustRightInd w:val="0"/>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评标专家确定方式：</w:t>
            </w:r>
            <w:r>
              <w:rPr>
                <w:rFonts w:hint="eastAsia" w:ascii="宋体" w:hAnsi="宋体" w:cs="宋体"/>
                <w:bCs/>
                <w:color w:val="auto"/>
                <w:kern w:val="0"/>
                <w:szCs w:val="21"/>
                <w:highlight w:val="none"/>
              </w:rPr>
              <w:t>由比选人依法组建</w:t>
            </w:r>
            <w:r>
              <w:rPr>
                <w:rFonts w:hint="eastAsia" w:ascii="宋体" w:hAnsi="宋体"/>
                <w:color w:val="auto"/>
                <w:kern w:val="0"/>
                <w:szCs w:val="21"/>
                <w:highlight w:val="none"/>
              </w:rPr>
              <w:t>。</w:t>
            </w:r>
          </w:p>
        </w:tc>
      </w:tr>
      <w:tr w14:paraId="7585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C72687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500" w:type="dxa"/>
            <w:vAlign w:val="center"/>
          </w:tcPr>
          <w:p w14:paraId="5CC5984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是否授权评标委员会确定中标人</w:t>
            </w:r>
          </w:p>
        </w:tc>
        <w:tc>
          <w:tcPr>
            <w:tcW w:w="7189" w:type="dxa"/>
            <w:vAlign w:val="center"/>
          </w:tcPr>
          <w:p w14:paraId="7F4AF722">
            <w:pPr>
              <w:snapToGrid w:val="0"/>
              <w:spacing w:line="360" w:lineRule="auto"/>
              <w:rPr>
                <w:rFonts w:ascii="宋体" w:hAnsi="宋体"/>
                <w:color w:val="auto"/>
                <w:kern w:val="0"/>
                <w:highlight w:val="none"/>
              </w:rPr>
            </w:pPr>
            <w:r>
              <w:rPr>
                <w:rFonts w:hint="eastAsia" w:ascii="宋体" w:hAnsi="宋体"/>
                <w:color w:val="auto"/>
                <w:kern w:val="0"/>
                <w:highlight w:val="none"/>
              </w:rPr>
              <w:t>口是</w:t>
            </w:r>
          </w:p>
          <w:p w14:paraId="7849B9B8">
            <w:pPr>
              <w:snapToGrid w:val="0"/>
              <w:spacing w:line="400" w:lineRule="exact"/>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olor w:val="auto"/>
                <w:kern w:val="0"/>
                <w:highlight w:val="none"/>
              </w:rPr>
              <w:t>否，</w:t>
            </w:r>
            <w:r>
              <w:rPr>
                <w:rFonts w:ascii="宋体" w:hAnsi="宋体"/>
                <w:kern w:val="0"/>
                <w:szCs w:val="21"/>
                <w:highlight w:val="none"/>
              </w:rPr>
              <w:t>推荐经评审合格的</w:t>
            </w:r>
            <w:r>
              <w:rPr>
                <w:rFonts w:hint="eastAsia" w:ascii="宋体" w:hAnsi="宋体"/>
                <w:kern w:val="0"/>
                <w:szCs w:val="21"/>
                <w:highlight w:val="none"/>
              </w:rPr>
              <w:t>报价</w:t>
            </w:r>
            <w:r>
              <w:rPr>
                <w:rFonts w:ascii="宋体" w:hAnsi="宋体"/>
                <w:kern w:val="0"/>
                <w:szCs w:val="21"/>
                <w:highlight w:val="none"/>
              </w:rPr>
              <w:t>由低到高排名前三名为中标候选人</w:t>
            </w:r>
            <w:r>
              <w:rPr>
                <w:rFonts w:hint="eastAsia" w:ascii="宋体" w:hAnsi="宋体"/>
                <w:color w:val="auto"/>
                <w:kern w:val="0"/>
                <w:highlight w:val="none"/>
              </w:rPr>
              <w:t>。</w:t>
            </w:r>
          </w:p>
        </w:tc>
      </w:tr>
      <w:tr w14:paraId="7BFE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E71A451">
            <w:pPr>
              <w:snapToGrid w:val="0"/>
              <w:spacing w:line="400" w:lineRule="exact"/>
              <w:jc w:val="center"/>
              <w:rPr>
                <w:rFonts w:hint="eastAsia" w:ascii="宋体" w:hAnsi="宋体" w:cs="宋体"/>
                <w:color w:val="auto"/>
                <w:kern w:val="0"/>
                <w:szCs w:val="21"/>
                <w:highlight w:val="none"/>
              </w:rPr>
            </w:pPr>
            <w:r>
              <w:rPr>
                <w:rFonts w:hint="eastAsia" w:ascii="宋体" w:hAnsi="宋体"/>
                <w:kern w:val="0"/>
                <w:szCs w:val="21"/>
                <w:highlight w:val="none"/>
              </w:rPr>
              <w:t>7.2</w:t>
            </w:r>
          </w:p>
        </w:tc>
        <w:tc>
          <w:tcPr>
            <w:tcW w:w="1500" w:type="dxa"/>
            <w:vAlign w:val="center"/>
          </w:tcPr>
          <w:p w14:paraId="46A7E7DC">
            <w:pPr>
              <w:snapToGrid w:val="0"/>
              <w:spacing w:after="62" w:afterLines="20" w:line="400" w:lineRule="exact"/>
              <w:jc w:val="center"/>
              <w:rPr>
                <w:rFonts w:hint="eastAsia" w:ascii="宋体" w:hAnsi="宋体" w:cs="宋体"/>
                <w:color w:val="auto"/>
                <w:kern w:val="0"/>
                <w:szCs w:val="21"/>
                <w:highlight w:val="none"/>
              </w:rPr>
            </w:pPr>
            <w:r>
              <w:rPr>
                <w:rFonts w:ascii="宋体" w:hAnsi="宋体"/>
                <w:kern w:val="0"/>
                <w:szCs w:val="21"/>
                <w:highlight w:val="none"/>
              </w:rPr>
              <w:t>中标公示</w:t>
            </w:r>
          </w:p>
        </w:tc>
        <w:tc>
          <w:tcPr>
            <w:tcW w:w="7189" w:type="dxa"/>
            <w:vAlign w:val="center"/>
          </w:tcPr>
          <w:p w14:paraId="1305BB4E">
            <w:pPr>
              <w:snapToGrid w:val="0"/>
              <w:spacing w:line="400" w:lineRule="exact"/>
              <w:ind w:firstLine="420" w:firstLineChars="200"/>
              <w:rPr>
                <w:color w:val="auto"/>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在收到评标报告后3日内将评标结果在</w:t>
            </w:r>
            <w:r>
              <w:rPr>
                <w:rFonts w:hint="eastAsia" w:ascii="宋体" w:hAnsi="宋体" w:cs="宋体"/>
                <w:szCs w:val="21"/>
                <w:highlight w:val="none"/>
                <w:lang w:val="en-US" w:eastAsia="zh-CN"/>
              </w:rPr>
              <w:t>重庆市公共资源交易网（铜梁区）（http://www.cqggzy.com/tongliangweb/）、重庆绅鹏实业开发有限公司官网（http://www.cqshenpeng.com/）</w:t>
            </w:r>
            <w:r>
              <w:rPr>
                <w:rFonts w:hint="eastAsia" w:ascii="宋体" w:hAnsi="宋体" w:cs="宋体"/>
                <w:szCs w:val="21"/>
                <w:highlight w:val="none"/>
              </w:rPr>
              <w:t>上进行公示，公示期为3日。</w:t>
            </w:r>
          </w:p>
        </w:tc>
      </w:tr>
      <w:tr w14:paraId="67C8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4626A8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7.3.1</w:t>
            </w:r>
          </w:p>
        </w:tc>
        <w:tc>
          <w:tcPr>
            <w:tcW w:w="1500" w:type="dxa"/>
            <w:vAlign w:val="center"/>
          </w:tcPr>
          <w:p w14:paraId="56D2E4A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履约担保</w:t>
            </w:r>
          </w:p>
        </w:tc>
        <w:tc>
          <w:tcPr>
            <w:tcW w:w="7189" w:type="dxa"/>
            <w:vAlign w:val="center"/>
          </w:tcPr>
          <w:p w14:paraId="45B57A30">
            <w:pPr>
              <w:snapToGrid w:val="0"/>
              <w:spacing w:line="400" w:lineRule="exact"/>
              <w:ind w:firstLine="420" w:firstLineChars="200"/>
              <w:rPr>
                <w:rFonts w:hint="eastAsia"/>
                <w:highlight w:val="none"/>
              </w:rPr>
            </w:pPr>
            <w:r>
              <w:rPr>
                <w:rFonts w:hint="eastAsia"/>
                <w:highlight w:val="none"/>
              </w:rPr>
              <w:t>1、中标人是否提供履约担保：提供。</w:t>
            </w:r>
          </w:p>
          <w:p w14:paraId="081A28D4">
            <w:pPr>
              <w:snapToGrid w:val="0"/>
              <w:spacing w:line="400" w:lineRule="exact"/>
              <w:ind w:firstLine="420" w:firstLineChars="200"/>
              <w:rPr>
                <w:rFonts w:hint="eastAsia"/>
                <w:highlight w:val="none"/>
              </w:rPr>
            </w:pPr>
            <w:r>
              <w:rPr>
                <w:rFonts w:hint="eastAsia"/>
                <w:highlight w:val="none"/>
              </w:rPr>
              <w:t>2、中标人提供履约担保的形式、金额及期限：</w:t>
            </w:r>
          </w:p>
          <w:p w14:paraId="171C8B09">
            <w:pPr>
              <w:snapToGrid w:val="0"/>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（1）履约担保的形式：现金或</w:t>
            </w:r>
            <w:r>
              <w:rPr>
                <w:rFonts w:hint="eastAsia" w:ascii="宋体" w:hAnsi="宋体"/>
                <w:kern w:val="0"/>
                <w:szCs w:val="21"/>
                <w:lang w:val="en-US" w:eastAsia="zh-CN"/>
              </w:rPr>
              <w:t>履约</w:t>
            </w:r>
            <w:r>
              <w:rPr>
                <w:rFonts w:hint="eastAsia" w:ascii="宋体" w:hAnsi="宋体"/>
                <w:kern w:val="0"/>
                <w:szCs w:val="21"/>
              </w:rPr>
              <w:t>保函或现金+</w:t>
            </w:r>
            <w:r>
              <w:rPr>
                <w:rFonts w:hint="eastAsia" w:ascii="宋体" w:hAnsi="宋体"/>
                <w:kern w:val="0"/>
                <w:szCs w:val="21"/>
                <w:lang w:val="en-US" w:eastAsia="zh-CN"/>
              </w:rPr>
              <w:t>履约</w:t>
            </w:r>
            <w:r>
              <w:rPr>
                <w:rFonts w:hint="eastAsia" w:ascii="宋体" w:hAnsi="宋体"/>
                <w:kern w:val="0"/>
                <w:szCs w:val="21"/>
              </w:rPr>
              <w:t>保函的组合</w:t>
            </w:r>
            <w:r>
              <w:rPr>
                <w:rFonts w:hint="eastAsia" w:ascii="宋体" w:hAnsi="宋体"/>
                <w:kern w:val="0"/>
                <w:szCs w:val="21"/>
                <w:lang w:eastAsia="zh-CN"/>
              </w:rPr>
              <w:t>，履约</w:t>
            </w:r>
            <w:r>
              <w:rPr>
                <w:rFonts w:hint="eastAsia" w:ascii="宋体" w:hAnsi="宋体"/>
                <w:kern w:val="0"/>
                <w:szCs w:val="21"/>
              </w:rPr>
              <w:t>保函包括银行保函、保证保险和担保保函</w:t>
            </w:r>
            <w:r>
              <w:rPr>
                <w:rFonts w:hint="eastAsia" w:ascii="宋体" w:hAnsi="宋体"/>
                <w:kern w:val="0"/>
                <w:szCs w:val="21"/>
                <w:lang w:eastAsia="zh-CN"/>
              </w:rPr>
              <w:t>（</w:t>
            </w:r>
            <w:r>
              <w:rPr>
                <w:rFonts w:hint="eastAsia" w:ascii="宋体" w:hAnsi="宋体"/>
                <w:kern w:val="0"/>
                <w:szCs w:val="21"/>
                <w:lang w:val="en-US" w:eastAsia="zh-CN"/>
              </w:rPr>
              <w:t>且必须为见索即付的保函</w:t>
            </w:r>
            <w:r>
              <w:rPr>
                <w:rFonts w:hint="eastAsia" w:ascii="宋体" w:hAnsi="宋体"/>
                <w:kern w:val="0"/>
                <w:szCs w:val="21"/>
                <w:lang w:eastAsia="zh-CN"/>
              </w:rPr>
              <w:t>）。</w:t>
            </w:r>
          </w:p>
          <w:p w14:paraId="199A1A02">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（2）具体要求：履约保函</w:t>
            </w:r>
            <w:r>
              <w:rPr>
                <w:rFonts w:hint="eastAsia" w:ascii="宋体" w:hAnsi="宋体"/>
                <w:kern w:val="0"/>
                <w:szCs w:val="21"/>
              </w:rPr>
              <w:t>的开立人应当是具有相应资格的银行、保险机构、融资担保公司，其信用资质、履约能力、担保能力、赔付流程、安全保密等应符合</w:t>
            </w:r>
            <w:r>
              <w:rPr>
                <w:rFonts w:hint="eastAsia" w:ascii="宋体" w:hAnsi="宋体"/>
                <w:kern w:val="0"/>
                <w:szCs w:val="21"/>
                <w:lang w:eastAsia="zh-CN"/>
              </w:rPr>
              <w:t>履约</w:t>
            </w:r>
            <w:r>
              <w:rPr>
                <w:rFonts w:hint="eastAsia" w:ascii="宋体" w:hAnsi="宋体"/>
                <w:kern w:val="0"/>
                <w:szCs w:val="21"/>
              </w:rPr>
              <w:t>保函业务条件</w:t>
            </w:r>
            <w:r>
              <w:rPr>
                <w:rFonts w:hint="eastAsia" w:ascii="宋体" w:hAnsi="宋体"/>
                <w:kern w:val="0"/>
                <w:szCs w:val="21"/>
                <w:lang w:eastAsia="zh-CN"/>
              </w:rPr>
              <w:t>。</w:t>
            </w:r>
            <w:r>
              <w:rPr>
                <w:rFonts w:hint="eastAsia" w:ascii="宋体" w:hAnsi="宋体"/>
                <w:kern w:val="0"/>
                <w:szCs w:val="21"/>
                <w:lang w:val="en-US" w:eastAsia="zh-CN"/>
              </w:rPr>
              <w:t>履约保函</w:t>
            </w:r>
            <w:r>
              <w:rPr>
                <w:rFonts w:hint="eastAsia" w:ascii="宋体" w:hAnsi="宋体"/>
                <w:kern w:val="0"/>
                <w:szCs w:val="21"/>
                <w:lang w:eastAsia="zh-CN"/>
              </w:rPr>
              <w:t>应合法合规，符合招投标行政监督部门、行业主管部门和金融监管部门的相关规定，满足</w:t>
            </w:r>
            <w:r>
              <w:rPr>
                <w:rFonts w:hint="eastAsia" w:ascii="宋体" w:hAnsi="宋体"/>
                <w:kern w:val="0"/>
                <w:szCs w:val="21"/>
                <w:lang w:val="en-US" w:eastAsia="zh-CN"/>
              </w:rPr>
              <w:t>比选</w:t>
            </w:r>
            <w:r>
              <w:rPr>
                <w:rFonts w:hint="eastAsia" w:ascii="宋体" w:hAnsi="宋体"/>
                <w:kern w:val="0"/>
                <w:szCs w:val="21"/>
                <w:lang w:eastAsia="zh-CN"/>
              </w:rPr>
              <w:t>文件约定要求。</w:t>
            </w:r>
            <w:r>
              <w:rPr>
                <w:rFonts w:hint="eastAsia" w:ascii="宋体" w:hAnsi="宋体"/>
                <w:kern w:val="0"/>
                <w:szCs w:val="21"/>
                <w:lang w:val="en-US" w:eastAsia="zh-CN"/>
              </w:rPr>
              <w:t>中标人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履约保函（包括纸质保函或电子保函）</w:t>
            </w:r>
            <w:r>
              <w:rPr>
                <w:rFonts w:hint="eastAsia" w:ascii="宋体" w:hAnsi="宋体"/>
                <w:kern w:val="0"/>
                <w:szCs w:val="21"/>
                <w:lang w:eastAsia="zh-CN"/>
              </w:rPr>
              <w:t>。</w:t>
            </w:r>
            <w:r>
              <w:rPr>
                <w:rFonts w:hint="eastAsia" w:ascii="宋体" w:hAnsi="宋体"/>
                <w:kern w:val="0"/>
                <w:szCs w:val="21"/>
                <w:lang w:val="en-US" w:eastAsia="zh-CN"/>
              </w:rPr>
              <w:t>履约保函为纸质保函的，纸质保函应注明在</w:t>
            </w:r>
            <w:r>
              <w:rPr>
                <w:rFonts w:hint="eastAsia" w:ascii="宋体" w:hAnsi="宋体"/>
                <w:kern w:val="0"/>
                <w:szCs w:val="21"/>
              </w:rPr>
              <w:t>重庆市辖区范围内的核验地址和核验方式</w:t>
            </w:r>
            <w:r>
              <w:rPr>
                <w:rFonts w:hint="eastAsia" w:ascii="宋体" w:hAnsi="宋体"/>
                <w:kern w:val="0"/>
                <w:szCs w:val="21"/>
                <w:lang w:eastAsia="zh-CN"/>
              </w:rPr>
              <w:t>，</w:t>
            </w:r>
            <w:r>
              <w:rPr>
                <w:rFonts w:hint="eastAsia" w:ascii="宋体" w:hAnsi="宋体"/>
                <w:kern w:val="0"/>
                <w:szCs w:val="21"/>
                <w:lang w:val="en-US" w:eastAsia="zh-CN"/>
              </w:rPr>
              <w:t>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中标人对所提交的履约保函的真实性、合法性、有效性负责。</w:t>
            </w:r>
          </w:p>
          <w:p w14:paraId="23C02882">
            <w:pPr>
              <w:snapToGrid w:val="0"/>
              <w:spacing w:line="400" w:lineRule="exact"/>
              <w:ind w:firstLine="420" w:firstLineChars="200"/>
              <w:rPr>
                <w:rFonts w:hint="eastAsia"/>
                <w:highlight w:val="none"/>
                <w:lang w:eastAsia="zh-CN"/>
              </w:rPr>
            </w:pPr>
            <w:r>
              <w:rPr>
                <w:rFonts w:hint="eastAsia"/>
                <w:highlight w:val="none"/>
              </w:rPr>
              <w:t>（</w:t>
            </w:r>
            <w:r>
              <w:rPr>
                <w:rFonts w:hint="eastAsia"/>
                <w:highlight w:val="none"/>
                <w:lang w:val="en-US" w:eastAsia="zh-CN"/>
              </w:rPr>
              <w:t>3</w:t>
            </w:r>
            <w:r>
              <w:rPr>
                <w:rFonts w:hint="eastAsia"/>
                <w:highlight w:val="none"/>
              </w:rPr>
              <w:t>）履约担保的金额： 中标价的10%</w:t>
            </w:r>
            <w:r>
              <w:rPr>
                <w:rFonts w:hint="eastAsia"/>
                <w:highlight w:val="none"/>
                <w:lang w:eastAsia="zh-CN"/>
              </w:rPr>
              <w:t>。</w:t>
            </w:r>
          </w:p>
          <w:p w14:paraId="1C5DDCC3">
            <w:pPr>
              <w:snapToGrid w:val="0"/>
              <w:spacing w:line="400" w:lineRule="exact"/>
              <w:ind w:firstLine="420" w:firstLineChars="200"/>
              <w:rPr>
                <w:rFonts w:hint="eastAsia"/>
                <w:highlight w:val="none"/>
              </w:rPr>
            </w:pPr>
            <w:r>
              <w:rPr>
                <w:rFonts w:hint="eastAsia"/>
                <w:highlight w:val="none"/>
              </w:rPr>
              <w:t>（</w:t>
            </w:r>
            <w:r>
              <w:rPr>
                <w:rFonts w:hint="eastAsia"/>
                <w:highlight w:val="none"/>
                <w:lang w:val="en-US" w:eastAsia="zh-CN"/>
              </w:rPr>
              <w:t>4</w:t>
            </w:r>
            <w:r>
              <w:rPr>
                <w:rFonts w:hint="eastAsia"/>
                <w:highlight w:val="none"/>
              </w:rPr>
              <w:t>）履约担保的提交时间：见专用合同条款。</w:t>
            </w:r>
          </w:p>
          <w:p w14:paraId="63210308">
            <w:pPr>
              <w:snapToGrid w:val="0"/>
              <w:spacing w:line="400" w:lineRule="exact"/>
              <w:ind w:firstLine="420" w:firstLineChars="200"/>
              <w:rPr>
                <w:rFonts w:hint="default"/>
                <w:highlight w:val="none"/>
                <w:lang w:val="en-US" w:eastAsia="zh-CN"/>
              </w:rPr>
            </w:pPr>
            <w:r>
              <w:rPr>
                <w:rFonts w:hint="eastAsia"/>
                <w:highlight w:val="none"/>
                <w:lang w:val="en-US" w:eastAsia="zh-CN"/>
              </w:rPr>
              <w:t>（5）履约保证金账户：</w:t>
            </w:r>
            <w:r>
              <w:rPr>
                <w:rFonts w:hint="eastAsia"/>
                <w:highlight w:val="none"/>
              </w:rPr>
              <w:t>见专用合同条款。</w:t>
            </w:r>
          </w:p>
          <w:p w14:paraId="366692D8">
            <w:pPr>
              <w:snapToGrid w:val="0"/>
              <w:spacing w:line="400" w:lineRule="exact"/>
              <w:ind w:firstLine="420" w:firstLineChars="200"/>
              <w:rPr>
                <w:rFonts w:hint="eastAsia"/>
                <w:highlight w:val="none"/>
              </w:rPr>
            </w:pPr>
            <w:r>
              <w:rPr>
                <w:rFonts w:hint="eastAsia"/>
                <w:highlight w:val="none"/>
              </w:rPr>
              <w:t>（</w:t>
            </w:r>
            <w:r>
              <w:rPr>
                <w:rFonts w:hint="eastAsia"/>
                <w:highlight w:val="none"/>
                <w:lang w:val="en-US" w:eastAsia="zh-CN"/>
              </w:rPr>
              <w:t>6</w:t>
            </w:r>
            <w:r>
              <w:rPr>
                <w:rFonts w:hint="eastAsia"/>
                <w:highlight w:val="none"/>
              </w:rPr>
              <w:t>）履约担保的期限：自提交履约担保之日起至</w:t>
            </w:r>
            <w:r>
              <w:rPr>
                <w:rFonts w:hint="eastAsia"/>
                <w:highlight w:val="none"/>
                <w:lang w:val="en-US" w:eastAsia="zh-CN"/>
              </w:rPr>
              <w:t>项目</w:t>
            </w:r>
            <w:r>
              <w:rPr>
                <w:rFonts w:hint="eastAsia"/>
                <w:highlight w:val="none"/>
              </w:rPr>
              <w:t>竣工验收合格之日止。</w:t>
            </w:r>
          </w:p>
          <w:p w14:paraId="68AE854D">
            <w:pPr>
              <w:snapToGrid w:val="0"/>
              <w:spacing w:line="400" w:lineRule="exact"/>
              <w:ind w:firstLine="420" w:firstLineChars="200"/>
              <w:rPr>
                <w:color w:val="auto"/>
                <w:highlight w:val="none"/>
              </w:rPr>
            </w:pPr>
            <w:r>
              <w:rPr>
                <w:rFonts w:hint="eastAsia"/>
                <w:highlight w:val="none"/>
              </w:rPr>
              <w:t>（</w:t>
            </w:r>
            <w:r>
              <w:rPr>
                <w:rFonts w:hint="eastAsia"/>
                <w:highlight w:val="none"/>
                <w:lang w:val="en-US" w:eastAsia="zh-CN"/>
              </w:rPr>
              <w:t>7</w:t>
            </w:r>
            <w:r>
              <w:rPr>
                <w:rFonts w:hint="eastAsia"/>
                <w:highlight w:val="none"/>
              </w:rPr>
              <w:t>）履约担保的退还时间：见专用合同条款。</w:t>
            </w:r>
          </w:p>
        </w:tc>
      </w:tr>
      <w:tr w14:paraId="6CA2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006604F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8.1</w:t>
            </w:r>
          </w:p>
        </w:tc>
        <w:tc>
          <w:tcPr>
            <w:tcW w:w="1500" w:type="dxa"/>
            <w:vAlign w:val="center"/>
          </w:tcPr>
          <w:p w14:paraId="188D000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7189" w:type="dxa"/>
            <w:vAlign w:val="center"/>
          </w:tcPr>
          <w:p w14:paraId="3C63E349">
            <w:pPr>
              <w:spacing w:line="440" w:lineRule="exact"/>
              <w:ind w:firstLine="420" w:firstLineChars="200"/>
              <w:rPr>
                <w:color w:val="auto"/>
                <w:highlight w:val="none"/>
              </w:rPr>
            </w:pPr>
            <w:r>
              <w:rPr>
                <w:rFonts w:hint="eastAsia"/>
                <w:color w:val="auto"/>
                <w:highlight w:val="none"/>
              </w:rPr>
              <w:t>1.按投标人须知第8.1（1）执行；</w:t>
            </w:r>
          </w:p>
          <w:p w14:paraId="17916C07">
            <w:pPr>
              <w:spacing w:line="440" w:lineRule="exact"/>
              <w:ind w:firstLine="420" w:firstLineChars="200"/>
              <w:rPr>
                <w:color w:val="auto"/>
                <w:highlight w:val="none"/>
              </w:rPr>
            </w:pPr>
            <w:r>
              <w:rPr>
                <w:rFonts w:hint="eastAsia"/>
                <w:color w:val="auto"/>
                <w:highlight w:val="none"/>
              </w:rPr>
              <w:t>2.按投标人须知第8.1（2）执行；</w:t>
            </w:r>
          </w:p>
          <w:p w14:paraId="60CD78B0">
            <w:pPr>
              <w:spacing w:line="440" w:lineRule="exact"/>
              <w:ind w:firstLine="420" w:firstLineChars="200"/>
              <w:rPr>
                <w:color w:val="auto"/>
                <w:highlight w:val="none"/>
              </w:rPr>
            </w:pPr>
            <w:r>
              <w:rPr>
                <w:rFonts w:hint="eastAsia"/>
                <w:color w:val="auto"/>
                <w:highlight w:val="none"/>
              </w:rPr>
              <w:t>3.按投标人须知第8.1（3）执行；</w:t>
            </w:r>
          </w:p>
          <w:p w14:paraId="1AC2E5AD">
            <w:pPr>
              <w:spacing w:line="440" w:lineRule="exact"/>
              <w:ind w:firstLine="420" w:firstLineChars="200"/>
              <w:rPr>
                <w:rFonts w:ascii="宋体" w:hAnsi="宋体" w:cs="宋体"/>
                <w:color w:val="auto"/>
                <w:kern w:val="0"/>
                <w:szCs w:val="21"/>
                <w:highlight w:val="none"/>
              </w:rPr>
            </w:pPr>
            <w:r>
              <w:rPr>
                <w:rFonts w:hint="eastAsia"/>
                <w:color w:val="auto"/>
                <w:highlight w:val="none"/>
              </w:rPr>
              <w:t>4.按投标人须知第8.1（4）执行。</w:t>
            </w:r>
          </w:p>
        </w:tc>
      </w:tr>
      <w:tr w14:paraId="4F4E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14:paraId="7EADC180">
            <w:pPr>
              <w:snapToGrid w:val="0"/>
              <w:spacing w:line="320" w:lineRule="exact"/>
              <w:jc w:val="center"/>
              <w:rPr>
                <w:rFonts w:ascii="宋体" w:hAnsi="宋体"/>
                <w:color w:val="auto"/>
                <w:kern w:val="0"/>
                <w:szCs w:val="21"/>
                <w:highlight w:val="none"/>
              </w:rPr>
            </w:pPr>
            <w:r>
              <w:rPr>
                <w:rFonts w:hint="eastAsia" w:ascii="宋体" w:hAnsi="宋体"/>
                <w:color w:val="auto"/>
                <w:kern w:val="0"/>
                <w:szCs w:val="21"/>
                <w:highlight w:val="none"/>
              </w:rPr>
              <w:t>8.2</w:t>
            </w:r>
          </w:p>
        </w:tc>
        <w:tc>
          <w:tcPr>
            <w:tcW w:w="1500" w:type="dxa"/>
            <w:vAlign w:val="center"/>
          </w:tcPr>
          <w:p w14:paraId="4AD33DB1">
            <w:pPr>
              <w:snapToGrid w:val="0"/>
              <w:spacing w:line="320" w:lineRule="exact"/>
              <w:jc w:val="center"/>
              <w:rPr>
                <w:rFonts w:ascii="宋体" w:hAnsi="宋体" w:cs="宋体"/>
                <w:color w:val="auto"/>
                <w:kern w:val="0"/>
                <w:szCs w:val="21"/>
                <w:highlight w:val="none"/>
              </w:rPr>
            </w:pPr>
            <w:r>
              <w:rPr>
                <w:rFonts w:hint="eastAsia" w:ascii="宋体" w:hAnsi="宋体"/>
                <w:snapToGrid w:val="0"/>
                <w:color w:val="auto"/>
                <w:szCs w:val="21"/>
                <w:highlight w:val="none"/>
              </w:rPr>
              <w:t>二次比选和不再比选</w:t>
            </w:r>
          </w:p>
        </w:tc>
        <w:tc>
          <w:tcPr>
            <w:tcW w:w="7189" w:type="dxa"/>
            <w:vAlign w:val="center"/>
          </w:tcPr>
          <w:p w14:paraId="5D8A02F2">
            <w:pPr>
              <w:spacing w:line="440" w:lineRule="exact"/>
              <w:ind w:firstLine="420" w:firstLineChars="200"/>
              <w:rPr>
                <w:color w:val="auto"/>
                <w:highlight w:val="none"/>
              </w:rPr>
            </w:pPr>
            <w:r>
              <w:rPr>
                <w:rFonts w:hint="eastAsia"/>
                <w:color w:val="auto"/>
                <w:highlight w:val="none"/>
              </w:rPr>
              <w:t>重新招标后投标人仍少于3个，按法定程序开标和评标，确定中标人。经评审无合格投标人，属于必须审批或核准的工程建设项目，经原审批或核准部门批准后不再进行招标。</w:t>
            </w:r>
          </w:p>
        </w:tc>
      </w:tr>
      <w:tr w14:paraId="21F5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1B1A74A">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8689" w:type="dxa"/>
            <w:gridSpan w:val="2"/>
            <w:vAlign w:val="center"/>
          </w:tcPr>
          <w:p w14:paraId="6797A193">
            <w:pPr>
              <w:tabs>
                <w:tab w:val="left" w:pos="1502"/>
              </w:tabs>
              <w:snapToGrid w:val="0"/>
              <w:spacing w:line="320" w:lineRule="exact"/>
              <w:jc w:val="center"/>
              <w:rPr>
                <w:rFonts w:ascii="宋体" w:hAnsi="宋体" w:cs="仿宋_GB2312"/>
                <w:b/>
                <w:color w:val="auto"/>
                <w:kern w:val="0"/>
                <w:szCs w:val="21"/>
                <w:highlight w:val="none"/>
              </w:rPr>
            </w:pPr>
            <w:r>
              <w:rPr>
                <w:rFonts w:hint="eastAsia" w:ascii="宋体" w:hAnsi="宋体" w:cs="宋体"/>
                <w:b/>
                <w:color w:val="auto"/>
                <w:kern w:val="0"/>
                <w:szCs w:val="21"/>
                <w:highlight w:val="none"/>
              </w:rPr>
              <w:t>需要补充的其他内容</w:t>
            </w:r>
          </w:p>
        </w:tc>
      </w:tr>
      <w:tr w14:paraId="3C5C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2D9D2FA">
            <w:pPr>
              <w:snapToGrid w:val="0"/>
              <w:spacing w:line="400" w:lineRule="exact"/>
              <w:jc w:val="center"/>
              <w:rPr>
                <w:rFonts w:hint="eastAsia" w:ascii="宋体" w:hAnsi="宋体"/>
                <w:color w:val="auto"/>
                <w:kern w:val="0"/>
                <w:szCs w:val="21"/>
                <w:highlight w:val="none"/>
              </w:rPr>
            </w:pPr>
            <w:r>
              <w:rPr>
                <w:rFonts w:ascii="宋体" w:hAnsi="宋体"/>
                <w:kern w:val="0"/>
                <w:szCs w:val="21"/>
                <w:highlight w:val="none"/>
              </w:rPr>
              <w:t>10.1</w:t>
            </w:r>
          </w:p>
        </w:tc>
        <w:tc>
          <w:tcPr>
            <w:tcW w:w="1500" w:type="dxa"/>
            <w:vAlign w:val="center"/>
          </w:tcPr>
          <w:p w14:paraId="2A77F9DE">
            <w:pPr>
              <w:snapToGrid w:val="0"/>
              <w:spacing w:line="400" w:lineRule="exact"/>
              <w:jc w:val="center"/>
              <w:rPr>
                <w:rFonts w:hint="eastAsia" w:ascii="宋体" w:hAnsi="宋体"/>
                <w:color w:val="auto"/>
                <w:kern w:val="0"/>
                <w:szCs w:val="21"/>
                <w:highlight w:val="none"/>
              </w:rPr>
            </w:pPr>
            <w:r>
              <w:rPr>
                <w:rFonts w:ascii="宋体" w:hAnsi="宋体"/>
                <w:kern w:val="0"/>
                <w:szCs w:val="21"/>
                <w:highlight w:val="none"/>
              </w:rPr>
              <w:t>支付担保</w:t>
            </w:r>
          </w:p>
        </w:tc>
        <w:tc>
          <w:tcPr>
            <w:tcW w:w="7189" w:type="dxa"/>
            <w:vAlign w:val="center"/>
          </w:tcPr>
          <w:p w14:paraId="38D85439">
            <w:pPr>
              <w:snapToGrid w:val="0"/>
              <w:spacing w:line="400" w:lineRule="exact"/>
              <w:jc w:val="left"/>
              <w:rPr>
                <w:rFonts w:hint="eastAsia" w:ascii="宋体" w:hAnsi="宋体" w:cs="宋体"/>
                <w:color w:val="auto"/>
                <w:kern w:val="0"/>
                <w:szCs w:val="21"/>
                <w:highlight w:val="none"/>
              </w:rPr>
            </w:pPr>
            <w:r>
              <w:rPr>
                <w:rFonts w:hint="eastAsia" w:ascii="宋体" w:hAnsi="宋体"/>
                <w:kern w:val="0"/>
                <w:szCs w:val="21"/>
                <w:highlight w:val="none"/>
              </w:rPr>
              <w:t>/</w:t>
            </w:r>
          </w:p>
        </w:tc>
      </w:tr>
      <w:tr w14:paraId="1951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3FE3A164">
            <w:pPr>
              <w:snapToGrid w:val="0"/>
              <w:spacing w:line="400" w:lineRule="exact"/>
              <w:jc w:val="center"/>
              <w:rPr>
                <w:rFonts w:hint="eastAsia" w:ascii="宋体" w:hAnsi="宋体"/>
                <w:color w:val="auto"/>
                <w:kern w:val="0"/>
                <w:szCs w:val="21"/>
                <w:highlight w:val="none"/>
              </w:rPr>
            </w:pPr>
            <w:r>
              <w:rPr>
                <w:rFonts w:ascii="宋体" w:hAnsi="宋体"/>
                <w:kern w:val="0"/>
                <w:szCs w:val="21"/>
                <w:highlight w:val="none"/>
              </w:rPr>
              <w:t>10.2</w:t>
            </w:r>
          </w:p>
        </w:tc>
        <w:tc>
          <w:tcPr>
            <w:tcW w:w="1500" w:type="dxa"/>
            <w:vAlign w:val="center"/>
          </w:tcPr>
          <w:p w14:paraId="249779BB">
            <w:pPr>
              <w:snapToGrid w:val="0"/>
              <w:spacing w:line="400" w:lineRule="exact"/>
              <w:jc w:val="center"/>
              <w:rPr>
                <w:rFonts w:hint="eastAsia" w:ascii="宋体" w:hAnsi="宋体"/>
                <w:color w:val="auto"/>
                <w:kern w:val="0"/>
                <w:szCs w:val="21"/>
                <w:highlight w:val="none"/>
              </w:rPr>
            </w:pPr>
            <w:r>
              <w:rPr>
                <w:rFonts w:hint="eastAsia" w:ascii="宋体" w:hAnsi="宋体"/>
                <w:kern w:val="0"/>
                <w:szCs w:val="21"/>
                <w:highlight w:val="none"/>
              </w:rPr>
              <w:t>项目经理答辩</w:t>
            </w:r>
          </w:p>
        </w:tc>
        <w:tc>
          <w:tcPr>
            <w:tcW w:w="7189" w:type="dxa"/>
            <w:vAlign w:val="center"/>
          </w:tcPr>
          <w:p w14:paraId="054989A1">
            <w:pPr>
              <w:snapToGrid w:val="0"/>
              <w:spacing w:line="400" w:lineRule="exact"/>
              <w:jc w:val="left"/>
              <w:rPr>
                <w:rFonts w:hint="eastAsia" w:ascii="宋体" w:hAnsi="宋体" w:cs="宋体"/>
                <w:color w:val="auto"/>
                <w:kern w:val="0"/>
                <w:szCs w:val="21"/>
                <w:highlight w:val="none"/>
              </w:rPr>
            </w:pPr>
            <w:r>
              <w:rPr>
                <w:rFonts w:hint="eastAsia" w:ascii="宋体" w:hAnsi="宋体"/>
                <w:kern w:val="0"/>
                <w:szCs w:val="21"/>
                <w:highlight w:val="none"/>
              </w:rPr>
              <w:t>/</w:t>
            </w:r>
          </w:p>
        </w:tc>
      </w:tr>
      <w:tr w14:paraId="40A3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4D50EA3">
            <w:pPr>
              <w:snapToGrid w:val="0"/>
              <w:spacing w:line="400" w:lineRule="exact"/>
              <w:jc w:val="center"/>
              <w:rPr>
                <w:rFonts w:ascii="宋体" w:hAnsi="宋体"/>
                <w:kern w:val="0"/>
                <w:szCs w:val="21"/>
                <w:highlight w:val="none"/>
              </w:rPr>
            </w:pPr>
            <w:r>
              <w:rPr>
                <w:rFonts w:ascii="宋体" w:hAnsi="宋体"/>
                <w:kern w:val="0"/>
                <w:szCs w:val="21"/>
                <w:highlight w:val="none"/>
              </w:rPr>
              <w:t>10.3</w:t>
            </w:r>
          </w:p>
        </w:tc>
        <w:tc>
          <w:tcPr>
            <w:tcW w:w="1500" w:type="dxa"/>
            <w:vAlign w:val="center"/>
          </w:tcPr>
          <w:p w14:paraId="529CBC28">
            <w:pPr>
              <w:snapToGrid w:val="0"/>
              <w:spacing w:line="400" w:lineRule="exact"/>
              <w:jc w:val="center"/>
              <w:rPr>
                <w:rFonts w:hint="eastAsia" w:ascii="宋体" w:hAnsi="宋体"/>
                <w:kern w:val="0"/>
                <w:szCs w:val="21"/>
                <w:highlight w:val="none"/>
              </w:rPr>
            </w:pPr>
            <w:r>
              <w:rPr>
                <w:rFonts w:ascii="宋体" w:hAnsi="宋体"/>
                <w:kern w:val="0"/>
                <w:szCs w:val="21"/>
                <w:highlight w:val="none"/>
              </w:rPr>
              <w:t>投诉处理</w:t>
            </w:r>
          </w:p>
        </w:tc>
        <w:tc>
          <w:tcPr>
            <w:tcW w:w="7189" w:type="dxa"/>
            <w:vAlign w:val="center"/>
          </w:tcPr>
          <w:p w14:paraId="70879782">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投标人或者其他利害关系人就本项目的评标结果等事项提出异议或投诉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14:paraId="5A05599F">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招标投标法》、《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kern w:val="0"/>
                <w:szCs w:val="21"/>
                <w:highlight w:val="none"/>
              </w:rPr>
              <w:t>〔</w:t>
            </w:r>
            <w:r>
              <w:rPr>
                <w:rFonts w:ascii="宋体" w:hAnsi="宋体"/>
                <w:kern w:val="0"/>
                <w:szCs w:val="21"/>
                <w:highlight w:val="none"/>
              </w:rPr>
              <w:t>2014</w:t>
            </w:r>
            <w:r>
              <w:rPr>
                <w:rFonts w:hint="eastAsia" w:ascii="宋体" w:hAnsi="宋体"/>
                <w:kern w:val="0"/>
                <w:szCs w:val="21"/>
                <w:highlight w:val="none"/>
              </w:rPr>
              <w:t>〕</w:t>
            </w:r>
            <w:r>
              <w:rPr>
                <w:rFonts w:ascii="宋体" w:hAnsi="宋体"/>
                <w:kern w:val="0"/>
                <w:szCs w:val="21"/>
                <w:highlight w:val="none"/>
              </w:rPr>
              <w:t>1168号）等法律法规文件处理投诉。</w:t>
            </w:r>
          </w:p>
          <w:p w14:paraId="6C95C2B7">
            <w:pPr>
              <w:snapToGrid w:val="0"/>
              <w:spacing w:after="124" w:afterLines="40" w:line="400" w:lineRule="exact"/>
              <w:ind w:firstLine="420" w:firstLineChars="200"/>
              <w:rPr>
                <w:rFonts w:hint="eastAsia" w:ascii="宋体" w:hAnsi="宋体"/>
                <w:kern w:val="0"/>
                <w:szCs w:val="21"/>
                <w:highlight w:val="none"/>
              </w:rPr>
            </w:pPr>
            <w:r>
              <w:rPr>
                <w:rFonts w:hint="eastAsia" w:ascii="宋体" w:hAnsi="宋体"/>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highlight w:val="none"/>
              </w:rPr>
              <w:t>给他人造成损失的，依法承担赔偿责任。</w:t>
            </w:r>
          </w:p>
        </w:tc>
      </w:tr>
      <w:tr w14:paraId="1BC5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0B17112A">
            <w:pPr>
              <w:snapToGrid w:val="0"/>
              <w:spacing w:line="400" w:lineRule="exact"/>
              <w:jc w:val="center"/>
              <w:rPr>
                <w:rFonts w:hint="eastAsia" w:ascii="宋体" w:hAnsi="宋体"/>
                <w:color w:val="auto"/>
                <w:kern w:val="0"/>
                <w:szCs w:val="21"/>
                <w:highlight w:val="none"/>
              </w:rPr>
            </w:pPr>
            <w:r>
              <w:rPr>
                <w:rFonts w:hint="eastAsia" w:ascii="宋体" w:hAnsi="宋体"/>
                <w:kern w:val="0"/>
                <w:szCs w:val="21"/>
                <w:highlight w:val="none"/>
                <w:shd w:val="clear" w:color="auto" w:fill="auto"/>
              </w:rPr>
              <w:t>10.4</w:t>
            </w:r>
          </w:p>
        </w:tc>
        <w:tc>
          <w:tcPr>
            <w:tcW w:w="1500" w:type="dxa"/>
            <w:vAlign w:val="center"/>
          </w:tcPr>
          <w:p w14:paraId="0490CC5A">
            <w:pPr>
              <w:snapToGri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工程量清单</w:t>
            </w:r>
          </w:p>
          <w:p w14:paraId="3D27AC1B">
            <w:pPr>
              <w:snapToGrid w:val="0"/>
              <w:spacing w:line="400" w:lineRule="exact"/>
              <w:jc w:val="center"/>
              <w:rPr>
                <w:rFonts w:hint="eastAsia" w:ascii="宋体" w:hAnsi="宋体"/>
                <w:color w:val="auto"/>
                <w:kern w:val="0"/>
                <w:szCs w:val="21"/>
                <w:highlight w:val="none"/>
              </w:rPr>
            </w:pPr>
            <w:r>
              <w:rPr>
                <w:rFonts w:hint="eastAsia" w:ascii="宋体" w:hAnsi="宋体"/>
                <w:kern w:val="0"/>
                <w:szCs w:val="21"/>
                <w:highlight w:val="none"/>
                <w:shd w:val="clear" w:color="auto" w:fill="auto"/>
              </w:rPr>
              <w:t>编制说明</w:t>
            </w:r>
          </w:p>
        </w:tc>
        <w:tc>
          <w:tcPr>
            <w:tcW w:w="7189" w:type="dxa"/>
            <w:vAlign w:val="center"/>
          </w:tcPr>
          <w:p w14:paraId="64F44BCB">
            <w:pPr>
              <w:widowControl/>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1.执行清单及定额：2018年《重庆市房屋建筑与装饰工程计价定额》、2018年《重庆市</w:t>
            </w:r>
            <w:r>
              <w:rPr>
                <w:rFonts w:hint="eastAsia" w:ascii="宋体" w:hAnsi="宋体"/>
                <w:color w:val="000000" w:themeColor="text1"/>
                <w:kern w:val="0"/>
                <w:szCs w:val="21"/>
                <w:lang w:val="en-US" w:eastAsia="zh-CN"/>
                <w14:textFill>
                  <w14:solidFill>
                    <w14:schemeClr w14:val="tx1"/>
                  </w14:solidFill>
                </w14:textFill>
              </w:rPr>
              <w:t>绿色建筑</w:t>
            </w:r>
            <w:r>
              <w:rPr>
                <w:rFonts w:hint="eastAsia" w:ascii="宋体" w:hAnsi="宋体"/>
                <w:color w:val="000000" w:themeColor="text1"/>
                <w:kern w:val="0"/>
                <w:szCs w:val="21"/>
                <w14:textFill>
                  <w14:solidFill>
                    <w14:schemeClr w14:val="tx1"/>
                  </w14:solidFill>
                </w14:textFill>
              </w:rPr>
              <w:t>工程计价定额》、2018年《重庆市</w:t>
            </w:r>
            <w:r>
              <w:rPr>
                <w:rFonts w:hint="eastAsia" w:ascii="宋体" w:hAnsi="宋体"/>
                <w:color w:val="000000" w:themeColor="text1"/>
                <w:kern w:val="0"/>
                <w:szCs w:val="21"/>
                <w:lang w:val="en-US" w:eastAsia="zh-CN"/>
                <w14:textFill>
                  <w14:solidFill>
                    <w14:schemeClr w14:val="tx1"/>
                  </w14:solidFill>
                </w14:textFill>
              </w:rPr>
              <w:t>房屋修缮工程</w:t>
            </w:r>
            <w:r>
              <w:rPr>
                <w:rFonts w:hint="eastAsia" w:ascii="宋体" w:hAnsi="宋体"/>
                <w:color w:val="000000" w:themeColor="text1"/>
                <w:kern w:val="0"/>
                <w:szCs w:val="21"/>
                <w14:textFill>
                  <w14:solidFill>
                    <w14:schemeClr w14:val="tx1"/>
                  </w14:solidFill>
                </w14:textFill>
              </w:rPr>
              <w:t>计价定额》、2018年《重庆市建设工程费用定额》及其相关配套文件，税金按《重庆市城乡建设委员会关于建筑业营业税改征增值税调整建设工程计价依据的通知》（渝建发〔2016〕35号）、《重庆市城乡建设委员会关于适用增值税新税税率调整建筑工程计价依据的通知》（渝建〔2018〕195号）、《重庆市住房和城乡建设委员会关于适用增值税新税率调整建设工程计价依据的通知》（渝建〔2019〕143号）调整。</w:t>
            </w:r>
          </w:p>
          <w:p w14:paraId="741391BF">
            <w:pPr>
              <w:widowControl/>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2.人工及材料价格：人工工日</w:t>
            </w:r>
            <w:r>
              <w:rPr>
                <w:rFonts w:hint="eastAsia" w:ascii="宋体" w:hAnsi="宋体"/>
                <w:color w:val="000000" w:themeColor="text1"/>
                <w:kern w:val="0"/>
                <w:szCs w:val="21"/>
                <w:lang w:eastAsia="zh-CN"/>
                <w14:textFill>
                  <w14:solidFill>
                    <w14:schemeClr w14:val="tx1"/>
                  </w14:solidFill>
                </w14:textFill>
              </w:rPr>
              <w:t>综合单价</w:t>
            </w:r>
            <w:r>
              <w:rPr>
                <w:rFonts w:hint="eastAsia" w:ascii="宋体" w:hAnsi="宋体"/>
                <w:color w:val="000000" w:themeColor="text1"/>
                <w:kern w:val="0"/>
                <w:szCs w:val="21"/>
                <w14:textFill>
                  <w14:solidFill>
                    <w14:schemeClr w14:val="tx1"/>
                  </w14:solidFill>
                </w14:textFill>
              </w:rPr>
              <w:t>按202</w:t>
            </w:r>
            <w:r>
              <w:rPr>
                <w:rFonts w:hint="eastAsia" w:ascii="宋体" w:hAnsi="宋体"/>
                <w:color w:val="000000" w:themeColor="text1"/>
                <w:kern w:val="0"/>
                <w:szCs w:val="21"/>
                <w:lang w:val="en-US" w:eastAsia="zh-CN"/>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年第</w:t>
            </w:r>
            <w:r>
              <w:rPr>
                <w:rFonts w:hint="eastAsia" w:ascii="宋体" w:hAnsi="宋体"/>
                <w:color w:val="000000" w:themeColor="text1"/>
                <w:kern w:val="0"/>
                <w:szCs w:val="21"/>
                <w:lang w:val="en-US" w:eastAsia="zh-CN"/>
                <w14:textFill>
                  <w14:solidFill>
                    <w14:schemeClr w14:val="tx1"/>
                  </w14:solidFill>
                </w14:textFill>
              </w:rPr>
              <w:t>4期</w:t>
            </w:r>
            <w:r>
              <w:rPr>
                <w:rFonts w:hint="eastAsia" w:ascii="宋体" w:hAnsi="宋体"/>
                <w:color w:val="000000" w:themeColor="text1"/>
                <w:kern w:val="0"/>
                <w:szCs w:val="21"/>
                <w14:textFill>
                  <w14:solidFill>
                    <w14:schemeClr w14:val="tx1"/>
                  </w14:solidFill>
                </w14:textFill>
              </w:rPr>
              <w:t>《重庆工程造价信息》公布的渝西片区人工价格执行；材料价格参照202</w:t>
            </w:r>
            <w:r>
              <w:rPr>
                <w:rFonts w:hint="eastAsia" w:ascii="宋体" w:hAnsi="宋体"/>
                <w:color w:val="000000" w:themeColor="text1"/>
                <w:kern w:val="0"/>
                <w:szCs w:val="21"/>
                <w:lang w:val="en-US" w:eastAsia="zh-CN"/>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年第</w:t>
            </w:r>
            <w:r>
              <w:rPr>
                <w:rFonts w:hint="eastAsia" w:ascii="宋体" w:hAnsi="宋体"/>
                <w:color w:val="000000" w:themeColor="text1"/>
                <w:kern w:val="0"/>
                <w:szCs w:val="21"/>
                <w:lang w:val="en-US" w:eastAsia="zh-CN"/>
                <w14:textFill>
                  <w14:solidFill>
                    <w14:schemeClr w14:val="tx1"/>
                  </w14:solidFill>
                </w14:textFill>
              </w:rPr>
              <w:t>6期</w:t>
            </w:r>
            <w:r>
              <w:rPr>
                <w:rFonts w:hint="eastAsia" w:ascii="宋体" w:hAnsi="宋体"/>
                <w:color w:val="000000" w:themeColor="text1"/>
                <w:kern w:val="0"/>
                <w:szCs w:val="21"/>
                <w14:textFill>
                  <w14:solidFill>
                    <w14:schemeClr w14:val="tx1"/>
                  </w14:solidFill>
                </w14:textFill>
              </w:rPr>
              <w:t>《重庆工程造价信息》公布的铜梁地区材料价格并结合当地近期市场价进行调整。</w:t>
            </w:r>
          </w:p>
          <w:p w14:paraId="047D530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color w:val="auto"/>
                <w:kern w:val="0"/>
                <w:szCs w:val="21"/>
                <w:highlight w:val="none"/>
              </w:rPr>
            </w:pPr>
            <w:r>
              <w:rPr>
                <w:rFonts w:hint="eastAsia" w:ascii="宋体" w:hAnsi="宋体"/>
                <w:color w:val="000000" w:themeColor="text1"/>
                <w:kern w:val="0"/>
                <w:szCs w:val="21"/>
                <w14:textFill>
                  <w14:solidFill>
                    <w14:schemeClr w14:val="tx1"/>
                  </w14:solidFill>
                </w14:textFill>
              </w:rPr>
              <w:t>3.材料价格按不含税价计算。</w:t>
            </w:r>
          </w:p>
        </w:tc>
      </w:tr>
      <w:tr w14:paraId="5C54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239970A">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500" w:type="dxa"/>
            <w:vAlign w:val="center"/>
          </w:tcPr>
          <w:p w14:paraId="705ED09F">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rPr>
              <w:t>代理服务费</w:t>
            </w:r>
          </w:p>
        </w:tc>
        <w:tc>
          <w:tcPr>
            <w:tcW w:w="7189" w:type="dxa"/>
            <w:vAlign w:val="center"/>
          </w:tcPr>
          <w:p w14:paraId="7B7B0E1E">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招标代理服务费：</w:t>
            </w:r>
            <w:r>
              <w:rPr>
                <w:rFonts w:hint="eastAsia" w:ascii="宋体" w:hAnsi="宋体"/>
                <w:b w:val="0"/>
                <w:bCs w:val="0"/>
                <w:kern w:val="0"/>
                <w:szCs w:val="21"/>
                <w:highlight w:val="none"/>
                <w:lang w:val="en-US" w:eastAsia="zh-CN"/>
              </w:rPr>
              <w:t>以中标价的1%计取</w:t>
            </w:r>
            <w:r>
              <w:rPr>
                <w:rFonts w:hint="eastAsia" w:ascii="宋体" w:hAnsi="宋体"/>
                <w:kern w:val="0"/>
                <w:szCs w:val="21"/>
                <w:highlight w:val="none"/>
                <w:u w:val="none"/>
                <w:lang w:val="en-US" w:eastAsia="zh-CN"/>
              </w:rPr>
              <w:t>,</w:t>
            </w:r>
            <w:r>
              <w:rPr>
                <w:rFonts w:hint="eastAsia" w:ascii="宋体" w:hAnsi="宋体"/>
                <w:color w:val="000000"/>
                <w:kern w:val="0"/>
                <w:szCs w:val="21"/>
                <w:highlight w:val="none"/>
              </w:rPr>
              <w:t>由中标人在领取中标通知书时一次性支付给招标代理机构。</w:t>
            </w:r>
          </w:p>
        </w:tc>
      </w:tr>
      <w:tr w14:paraId="1A30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E894538">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6</w:t>
            </w:r>
          </w:p>
        </w:tc>
        <w:tc>
          <w:tcPr>
            <w:tcW w:w="1500" w:type="dxa"/>
            <w:vAlign w:val="center"/>
          </w:tcPr>
          <w:p w14:paraId="231DF9D9">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rPr>
              <w:t>交易服务费</w:t>
            </w:r>
          </w:p>
        </w:tc>
        <w:tc>
          <w:tcPr>
            <w:tcW w:w="7189" w:type="dxa"/>
            <w:vAlign w:val="center"/>
          </w:tcPr>
          <w:p w14:paraId="41775A5B">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lang w:val="en-US" w:eastAsia="zh-CN"/>
              </w:rPr>
              <w:t>投标人中标后向“重庆联合产权交易所集团股份有限公司”缴纳交易服务费，服务费的收取标准参照渝发改收费(2023)115 号执行，交易服务费在中标公示结束后领取中标通知书前按照中标额的1.5‰支付</w:t>
            </w:r>
            <w:r>
              <w:rPr>
                <w:rFonts w:hint="eastAsia" w:ascii="宋体" w:hAnsi="宋体"/>
                <w:kern w:val="0"/>
                <w:szCs w:val="21"/>
                <w:highlight w:val="none"/>
              </w:rPr>
              <w:t>。</w:t>
            </w:r>
          </w:p>
        </w:tc>
      </w:tr>
      <w:tr w14:paraId="0C30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40507EB">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7</w:t>
            </w:r>
          </w:p>
        </w:tc>
        <w:tc>
          <w:tcPr>
            <w:tcW w:w="1500" w:type="dxa"/>
            <w:vAlign w:val="center"/>
          </w:tcPr>
          <w:p w14:paraId="0F5EDEDB">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eastAsia="zh-CN"/>
              </w:rPr>
              <w:t>比选文件</w:t>
            </w:r>
            <w:r>
              <w:rPr>
                <w:rFonts w:hint="eastAsia" w:ascii="宋体" w:hAnsi="宋体"/>
                <w:kern w:val="0"/>
                <w:szCs w:val="21"/>
                <w:highlight w:val="none"/>
              </w:rPr>
              <w:t>及投标争议的解释</w:t>
            </w:r>
          </w:p>
        </w:tc>
        <w:tc>
          <w:tcPr>
            <w:tcW w:w="7189" w:type="dxa"/>
            <w:vAlign w:val="center"/>
          </w:tcPr>
          <w:p w14:paraId="2207FE45">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eastAsia="zh-CN"/>
              </w:rPr>
              <w:t>比选文件</w:t>
            </w:r>
            <w:r>
              <w:rPr>
                <w:rFonts w:hint="eastAsia" w:ascii="宋体" w:hAnsi="宋体"/>
                <w:kern w:val="0"/>
                <w:szCs w:val="21"/>
                <w:highlight w:val="none"/>
              </w:rPr>
              <w:t>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14:paraId="54DE0D1B">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对投标文件理解有争议的，应当作出不利于提交该投标文件的投标人的解释。</w:t>
            </w:r>
          </w:p>
        </w:tc>
      </w:tr>
      <w:tr w14:paraId="6A2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CBE81A4">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lang w:val="en-US" w:eastAsia="zh-CN"/>
              </w:rPr>
              <w:t>10.8</w:t>
            </w:r>
          </w:p>
        </w:tc>
        <w:tc>
          <w:tcPr>
            <w:tcW w:w="1500" w:type="dxa"/>
            <w:vAlign w:val="center"/>
          </w:tcPr>
          <w:p w14:paraId="23BD9519">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lang w:val="en-US" w:eastAsia="zh-CN"/>
              </w:rPr>
              <w:t>付款方式</w:t>
            </w:r>
          </w:p>
        </w:tc>
        <w:tc>
          <w:tcPr>
            <w:tcW w:w="7189" w:type="dxa"/>
            <w:vAlign w:val="center"/>
          </w:tcPr>
          <w:p w14:paraId="3D3682DE">
            <w:pPr>
              <w:autoSpaceDE w:val="0"/>
              <w:autoSpaceDN w:val="0"/>
              <w:adjustRightInd w:val="0"/>
              <w:snapToGrid w:val="0"/>
              <w:spacing w:line="400" w:lineRule="exact"/>
              <w:ind w:firstLine="420" w:firstLineChars="200"/>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本工程无预付款，工程竣工验收合格并提交结算资料后支付至双方认定合格工程量的70% ，结算审核完成后支付至审定确定金额的97%，留审定金额的3%作为质保金，缺陷责任期（缺陷责任期为24个月，自竣工验收合格之日起计算）满后无质量问题，30日内一次性无息支付。</w:t>
            </w:r>
          </w:p>
          <w:p w14:paraId="06040A5B">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cs="Times New Roman"/>
                <w:kern w:val="0"/>
                <w:szCs w:val="21"/>
                <w:highlight w:val="none"/>
                <w:lang w:val="en-US" w:eastAsia="zh-CN"/>
              </w:rPr>
              <w:t>注：所有款项支付至承包人的基本账户。</w:t>
            </w:r>
          </w:p>
        </w:tc>
      </w:tr>
      <w:tr w14:paraId="6906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0F5E80F4">
            <w:pPr>
              <w:snapToGrid w:val="0"/>
              <w:spacing w:line="400" w:lineRule="exact"/>
              <w:jc w:val="center"/>
              <w:rPr>
                <w:rFonts w:ascii="宋体" w:hAnsi="宋体"/>
                <w:color w:val="auto"/>
                <w:kern w:val="0"/>
                <w:szCs w:val="21"/>
                <w:highlight w:val="none"/>
              </w:rPr>
            </w:pPr>
            <w:r>
              <w:rPr>
                <w:rFonts w:hint="eastAsia" w:ascii="宋体" w:hAnsi="宋体"/>
                <w:kern w:val="0"/>
                <w:szCs w:val="21"/>
                <w:highlight w:val="none"/>
                <w:lang w:val="en-US" w:eastAsia="zh-CN"/>
              </w:rPr>
              <w:t>10.9</w:t>
            </w:r>
          </w:p>
        </w:tc>
        <w:tc>
          <w:tcPr>
            <w:tcW w:w="1500" w:type="dxa"/>
            <w:vAlign w:val="center"/>
          </w:tcPr>
          <w:p w14:paraId="1F9F8782">
            <w:pPr>
              <w:snapToGrid w:val="0"/>
              <w:spacing w:line="400" w:lineRule="exact"/>
              <w:ind w:firstLine="210" w:firstLineChars="100"/>
              <w:jc w:val="both"/>
              <w:rPr>
                <w:rFonts w:ascii="宋体" w:hAnsi="宋体"/>
                <w:color w:val="auto"/>
                <w:kern w:val="0"/>
                <w:szCs w:val="21"/>
                <w:highlight w:val="none"/>
              </w:rPr>
            </w:pPr>
            <w:r>
              <w:rPr>
                <w:rFonts w:hint="eastAsia" w:ascii="宋体" w:hAnsi="宋体"/>
                <w:kern w:val="0"/>
                <w:szCs w:val="21"/>
                <w:highlight w:val="none"/>
                <w:lang w:val="en-US" w:eastAsia="zh-CN"/>
              </w:rPr>
              <w:t>特别说明</w:t>
            </w:r>
          </w:p>
        </w:tc>
        <w:tc>
          <w:tcPr>
            <w:tcW w:w="7189" w:type="dxa"/>
            <w:vAlign w:val="center"/>
          </w:tcPr>
          <w:p w14:paraId="70477C98">
            <w:pPr>
              <w:numPr>
                <w:ilvl w:val="0"/>
                <w:numId w:val="0"/>
              </w:numPr>
              <w:autoSpaceDE w:val="0"/>
              <w:autoSpaceDN w:val="0"/>
              <w:adjustRightInd w:val="0"/>
              <w:snapToGrid w:val="0"/>
              <w:spacing w:line="360" w:lineRule="exact"/>
              <w:ind w:firstLine="420" w:firstLineChars="200"/>
              <w:rPr>
                <w:rFonts w:ascii="宋体" w:hAnsi="宋体" w:cs="宋体"/>
                <w:color w:val="auto"/>
                <w:kern w:val="0"/>
                <w:szCs w:val="21"/>
                <w:highlight w:val="none"/>
              </w:rPr>
            </w:pPr>
            <w:r>
              <w:rPr>
                <w:rFonts w:hint="eastAsia"/>
                <w:highlight w:val="none"/>
              </w:rPr>
              <w:t>中标候选人或中标人放弃中标项目，无正当理由不与</w:t>
            </w:r>
            <w:r>
              <w:rPr>
                <w:rFonts w:hint="eastAsia"/>
                <w:highlight w:val="none"/>
                <w:lang w:eastAsia="zh-CN"/>
              </w:rPr>
              <w:t>比选人</w:t>
            </w:r>
            <w:r>
              <w:rPr>
                <w:rFonts w:hint="eastAsia"/>
                <w:highlight w:val="none"/>
              </w:rPr>
              <w:t>签订合同，在签订合同时向</w:t>
            </w:r>
            <w:r>
              <w:rPr>
                <w:rFonts w:hint="eastAsia"/>
                <w:highlight w:val="none"/>
                <w:lang w:eastAsia="zh-CN"/>
              </w:rPr>
              <w:t>比选人</w:t>
            </w:r>
            <w:r>
              <w:rPr>
                <w:rFonts w:hint="eastAsia"/>
                <w:highlight w:val="none"/>
              </w:rPr>
              <w:t>提出附加条件或者更改合同实质性内容，或者拒不提交低价风险担保或者履约担保的，取消其中标资格，投标保证金不予退还，给</w:t>
            </w:r>
            <w:r>
              <w:rPr>
                <w:rFonts w:hint="eastAsia"/>
                <w:highlight w:val="none"/>
                <w:lang w:eastAsia="zh-CN"/>
              </w:rPr>
              <w:t>比选人</w:t>
            </w:r>
            <w:r>
              <w:rPr>
                <w:rFonts w:hint="eastAsia"/>
                <w:highlight w:val="none"/>
                <w:lang w:val="en-US" w:eastAsia="zh-CN"/>
              </w:rPr>
              <w:t>造成的</w:t>
            </w:r>
            <w:r>
              <w:rPr>
                <w:rFonts w:hint="eastAsia"/>
                <w:highlight w:val="none"/>
              </w:rPr>
              <w:t>损失超过投标保证金数额的，中标候选人或中标人应对超过部分予以赔偿。</w:t>
            </w:r>
          </w:p>
        </w:tc>
      </w:tr>
    </w:tbl>
    <w:p w14:paraId="63E00474">
      <w:bookmarkStart w:id="38" w:name="_Toc287607746"/>
      <w:bookmarkStart w:id="39" w:name="_Toc200513126"/>
      <w:bookmarkStart w:id="40" w:name="_Toc452058682"/>
      <w:bookmarkStart w:id="41" w:name="_Toc386029647"/>
      <w:bookmarkStart w:id="42" w:name="_Toc13995"/>
      <w:bookmarkStart w:id="43" w:name="_Toc224103317"/>
      <w:bookmarkStart w:id="44" w:name="_Toc277082552"/>
      <w:bookmarkStart w:id="45" w:name="_Toc909"/>
    </w:p>
    <w:p w14:paraId="359F3CB7">
      <w:pPr>
        <w:autoSpaceDE w:val="0"/>
        <w:autoSpaceDN w:val="0"/>
        <w:adjustRightInd w:val="0"/>
        <w:snapToGrid w:val="0"/>
        <w:spacing w:line="320" w:lineRule="exact"/>
        <w:jc w:val="left"/>
        <w:rPr>
          <w:rFonts w:ascii="宋体" w:hAnsi="宋体"/>
          <w:b/>
          <w:snapToGrid w:val="0"/>
          <w:color w:val="auto"/>
          <w:kern w:val="0"/>
          <w:highlight w:val="none"/>
        </w:rPr>
      </w:pPr>
    </w:p>
    <w:p w14:paraId="6B141112">
      <w:pPr>
        <w:pStyle w:val="2"/>
        <w:rPr>
          <w:rFonts w:ascii="宋体" w:hAnsi="宋体"/>
          <w:b/>
          <w:snapToGrid w:val="0"/>
          <w:color w:val="auto"/>
          <w:kern w:val="0"/>
          <w:highlight w:val="none"/>
        </w:rPr>
      </w:pPr>
    </w:p>
    <w:p w14:paraId="7678F06F"/>
    <w:p w14:paraId="2B780799">
      <w:pPr>
        <w:autoSpaceDE w:val="0"/>
        <w:autoSpaceDN w:val="0"/>
        <w:adjustRightInd w:val="0"/>
        <w:snapToGrid w:val="0"/>
        <w:spacing w:line="320" w:lineRule="exact"/>
        <w:jc w:val="left"/>
        <w:rPr>
          <w:rFonts w:ascii="宋体" w:hAnsi="宋体"/>
          <w:b/>
          <w:snapToGrid w:val="0"/>
          <w:color w:val="auto"/>
          <w:kern w:val="0"/>
          <w:highlight w:val="none"/>
        </w:rPr>
      </w:pPr>
      <w:r>
        <w:rPr>
          <w:rFonts w:ascii="宋体" w:hAnsi="宋体"/>
          <w:b/>
          <w:snapToGrid w:val="0"/>
          <w:color w:val="auto"/>
          <w:kern w:val="0"/>
          <w:highlight w:val="none"/>
        </w:rPr>
        <w:t xml:space="preserve">1.  </w:t>
      </w:r>
      <w:r>
        <w:rPr>
          <w:rFonts w:hint="eastAsia" w:ascii="宋体" w:hAnsi="宋体"/>
          <w:b/>
          <w:snapToGrid w:val="0"/>
          <w:color w:val="auto"/>
          <w:kern w:val="0"/>
          <w:highlight w:val="none"/>
        </w:rPr>
        <w:t>总则</w:t>
      </w:r>
      <w:bookmarkEnd w:id="38"/>
      <w:bookmarkEnd w:id="39"/>
      <w:bookmarkEnd w:id="40"/>
      <w:bookmarkEnd w:id="41"/>
      <w:bookmarkEnd w:id="42"/>
      <w:bookmarkEnd w:id="43"/>
      <w:bookmarkEnd w:id="44"/>
      <w:bookmarkEnd w:id="45"/>
    </w:p>
    <w:p w14:paraId="631C8C6B">
      <w:pPr>
        <w:autoSpaceDE w:val="0"/>
        <w:autoSpaceDN w:val="0"/>
        <w:adjustRightInd w:val="0"/>
        <w:snapToGrid w:val="0"/>
        <w:spacing w:line="320" w:lineRule="exact"/>
        <w:jc w:val="left"/>
        <w:rPr>
          <w:rFonts w:ascii="宋体" w:hAnsi="宋体"/>
          <w:b/>
          <w:snapToGrid w:val="0"/>
          <w:color w:val="auto"/>
          <w:kern w:val="0"/>
          <w:highlight w:val="none"/>
        </w:rPr>
      </w:pPr>
      <w:bookmarkStart w:id="46" w:name="_Toc26024"/>
      <w:bookmarkStart w:id="47" w:name="_Toc386029648"/>
      <w:bookmarkStart w:id="48" w:name="_Toc200513127"/>
      <w:bookmarkStart w:id="49" w:name="_Toc287620686"/>
      <w:bookmarkStart w:id="50" w:name="_Toc452058683"/>
      <w:bookmarkStart w:id="51" w:name="_Toc224103318"/>
      <w:bookmarkStart w:id="52" w:name="_Toc277082553"/>
      <w:bookmarkStart w:id="53" w:name="_Toc287607747"/>
      <w:r>
        <w:rPr>
          <w:rFonts w:ascii="宋体" w:hAnsi="宋体"/>
          <w:b/>
          <w:snapToGrid w:val="0"/>
          <w:color w:val="auto"/>
          <w:kern w:val="0"/>
          <w:highlight w:val="none"/>
        </w:rPr>
        <w:t xml:space="preserve">1.1  </w:t>
      </w:r>
      <w:r>
        <w:rPr>
          <w:rFonts w:hint="eastAsia" w:ascii="宋体" w:hAnsi="宋体"/>
          <w:b/>
          <w:snapToGrid w:val="0"/>
          <w:color w:val="auto"/>
          <w:kern w:val="0"/>
          <w:highlight w:val="none"/>
        </w:rPr>
        <w:t>项目概况</w:t>
      </w:r>
      <w:bookmarkEnd w:id="46"/>
      <w:bookmarkEnd w:id="47"/>
      <w:bookmarkEnd w:id="48"/>
      <w:bookmarkEnd w:id="49"/>
      <w:bookmarkEnd w:id="50"/>
      <w:bookmarkEnd w:id="51"/>
      <w:bookmarkEnd w:id="52"/>
      <w:bookmarkEnd w:id="53"/>
    </w:p>
    <w:p w14:paraId="2262101B">
      <w:pPr>
        <w:autoSpaceDE w:val="0"/>
        <w:autoSpaceDN w:val="0"/>
        <w:adjustRightInd w:val="0"/>
        <w:snapToGrid w:val="0"/>
        <w:spacing w:line="320" w:lineRule="exact"/>
        <w:ind w:firstLine="357" w:firstLineChars="170"/>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rPr>
        <w:t>根据《中华人民共和国招标投标法》等有关法律、法规和规章的规定，本招标项目已具备招标条件，现对本标段施工进行竞争性比选。</w:t>
      </w:r>
    </w:p>
    <w:p w14:paraId="0F4776D9">
      <w:pPr>
        <w:autoSpaceDE w:val="0"/>
        <w:autoSpaceDN w:val="0"/>
        <w:adjustRightInd w:val="0"/>
        <w:snapToGrid w:val="0"/>
        <w:spacing w:line="320" w:lineRule="exact"/>
        <w:ind w:firstLine="357" w:firstLineChars="170"/>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rPr>
        <w:t>本招标项目比选人：见投标人须知前附表。</w:t>
      </w:r>
    </w:p>
    <w:p w14:paraId="7F503A0F">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cs="MingLiU"/>
          <w:snapToGrid w:val="0"/>
          <w:color w:val="auto"/>
          <w:kern w:val="0"/>
          <w:szCs w:val="21"/>
          <w:highlight w:val="none"/>
        </w:rPr>
        <w:t>本标段</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代理机构：见投标人须知前附表。</w:t>
      </w:r>
    </w:p>
    <w:p w14:paraId="71E8C7F9">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1.1.4  </w:t>
      </w:r>
      <w:r>
        <w:rPr>
          <w:rFonts w:hint="eastAsia" w:ascii="宋体" w:hAnsi="宋体" w:cs="MingLiU"/>
          <w:snapToGrid w:val="0"/>
          <w:color w:val="auto"/>
          <w:kern w:val="0"/>
          <w:szCs w:val="21"/>
          <w:highlight w:val="none"/>
        </w:rPr>
        <w:t>本</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项目名称：见投标人须知前附表。</w:t>
      </w:r>
    </w:p>
    <w:p w14:paraId="10D4EED5">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cs="MingLiU"/>
          <w:snapToGrid w:val="0"/>
          <w:color w:val="auto"/>
          <w:kern w:val="0"/>
          <w:szCs w:val="21"/>
          <w:highlight w:val="none"/>
        </w:rPr>
        <w:t>本标段建设地点：见投标人须知前附表。</w:t>
      </w:r>
    </w:p>
    <w:p w14:paraId="7E34C584">
      <w:pPr>
        <w:pStyle w:val="2"/>
        <w:ind w:firstLine="420" w:firstLineChars="200"/>
        <w:rPr>
          <w:rFonts w:hint="eastAsia" w:eastAsia="宋体"/>
          <w:highlight w:val="none"/>
          <w:lang w:eastAsia="zh-CN"/>
        </w:rPr>
      </w:pPr>
      <w:r>
        <w:rPr>
          <w:rFonts w:ascii="宋体" w:hAnsi="宋体"/>
          <w:snapToGrid w:val="0"/>
          <w:kern w:val="0"/>
          <w:szCs w:val="21"/>
          <w:highlight w:val="none"/>
        </w:rPr>
        <w:t>1</w:t>
      </w:r>
      <w:r>
        <w:rPr>
          <w:rFonts w:hint="eastAsia" w:ascii="宋体" w:hAnsi="宋体" w:eastAsia="宋体" w:cs="MingLiU"/>
          <w:snapToGrid w:val="0"/>
          <w:color w:val="auto"/>
          <w:kern w:val="0"/>
          <w:sz w:val="21"/>
          <w:szCs w:val="21"/>
          <w:highlight w:val="none"/>
          <w:lang w:val="en-US" w:eastAsia="zh-CN" w:bidi="ar-SA"/>
        </w:rPr>
        <w:t>.1.6  本标段建设规模：见投标人须知前附表。</w:t>
      </w:r>
    </w:p>
    <w:p w14:paraId="7898ABDD">
      <w:pPr>
        <w:autoSpaceDE w:val="0"/>
        <w:autoSpaceDN w:val="0"/>
        <w:adjustRightInd w:val="0"/>
        <w:snapToGrid w:val="0"/>
        <w:spacing w:line="320" w:lineRule="exact"/>
        <w:jc w:val="left"/>
        <w:rPr>
          <w:rFonts w:ascii="宋体" w:hAnsi="宋体"/>
          <w:b/>
          <w:snapToGrid w:val="0"/>
          <w:color w:val="auto"/>
          <w:kern w:val="0"/>
          <w:highlight w:val="none"/>
        </w:rPr>
      </w:pPr>
      <w:bookmarkStart w:id="54" w:name="_Toc277082554"/>
      <w:bookmarkStart w:id="55" w:name="_Toc287620687"/>
      <w:bookmarkStart w:id="56" w:name="_Toc452058684"/>
      <w:bookmarkStart w:id="57" w:name="_Toc11476"/>
      <w:bookmarkStart w:id="58" w:name="_Toc386029649"/>
      <w:bookmarkStart w:id="59" w:name="_Toc287607748"/>
      <w:bookmarkStart w:id="60" w:name="_Toc224103319"/>
      <w:bookmarkStart w:id="61" w:name="_Toc200513128"/>
      <w:r>
        <w:rPr>
          <w:rFonts w:ascii="宋体" w:hAnsi="宋体"/>
          <w:b/>
          <w:snapToGrid w:val="0"/>
          <w:color w:val="auto"/>
          <w:kern w:val="0"/>
          <w:highlight w:val="none"/>
        </w:rPr>
        <w:t xml:space="preserve">1.2  </w:t>
      </w:r>
      <w:r>
        <w:rPr>
          <w:rFonts w:hint="eastAsia" w:ascii="宋体" w:hAnsi="宋体"/>
          <w:b/>
          <w:snapToGrid w:val="0"/>
          <w:color w:val="auto"/>
          <w:kern w:val="0"/>
          <w:highlight w:val="none"/>
        </w:rPr>
        <w:t>资金来源和落实情况</w:t>
      </w:r>
      <w:bookmarkEnd w:id="54"/>
      <w:bookmarkEnd w:id="55"/>
      <w:bookmarkEnd w:id="56"/>
      <w:bookmarkEnd w:id="57"/>
      <w:bookmarkEnd w:id="58"/>
      <w:bookmarkEnd w:id="59"/>
      <w:bookmarkEnd w:id="60"/>
      <w:bookmarkEnd w:id="61"/>
    </w:p>
    <w:p w14:paraId="16E2C9AF">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1.2.1  </w:t>
      </w:r>
      <w:r>
        <w:rPr>
          <w:rFonts w:hint="eastAsia" w:ascii="宋体" w:hAnsi="宋体" w:cs="MingLiU"/>
          <w:snapToGrid w:val="0"/>
          <w:color w:val="auto"/>
          <w:kern w:val="0"/>
          <w:szCs w:val="21"/>
          <w:highlight w:val="none"/>
        </w:rPr>
        <w:t>本</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项目的资金来源：见投标人须知前附表。</w:t>
      </w:r>
    </w:p>
    <w:p w14:paraId="646D98BC">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1.2.2  </w:t>
      </w:r>
      <w:r>
        <w:rPr>
          <w:rFonts w:hint="eastAsia" w:ascii="宋体" w:hAnsi="宋体" w:cs="MingLiU"/>
          <w:snapToGrid w:val="0"/>
          <w:color w:val="auto"/>
          <w:kern w:val="0"/>
          <w:szCs w:val="21"/>
          <w:highlight w:val="none"/>
        </w:rPr>
        <w:t>本</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项目的出资比例：见投标人须知前附表。</w:t>
      </w:r>
    </w:p>
    <w:p w14:paraId="7FBA9031">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1.2.3  </w:t>
      </w:r>
      <w:r>
        <w:rPr>
          <w:rFonts w:hint="eastAsia" w:ascii="宋体" w:hAnsi="宋体" w:cs="MingLiU"/>
          <w:snapToGrid w:val="0"/>
          <w:color w:val="auto"/>
          <w:kern w:val="0"/>
          <w:szCs w:val="21"/>
          <w:highlight w:val="none"/>
        </w:rPr>
        <w:t>本</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项目的资金落实情况：见投标人须知前附表。</w:t>
      </w:r>
    </w:p>
    <w:p w14:paraId="398EF494">
      <w:pPr>
        <w:autoSpaceDE w:val="0"/>
        <w:autoSpaceDN w:val="0"/>
        <w:adjustRightInd w:val="0"/>
        <w:snapToGrid w:val="0"/>
        <w:spacing w:line="320" w:lineRule="exact"/>
        <w:jc w:val="left"/>
        <w:rPr>
          <w:rFonts w:ascii="宋体" w:hAnsi="宋体"/>
          <w:b/>
          <w:snapToGrid w:val="0"/>
          <w:color w:val="auto"/>
          <w:kern w:val="0"/>
          <w:highlight w:val="none"/>
        </w:rPr>
      </w:pPr>
      <w:bookmarkStart w:id="62" w:name="_Toc452058685"/>
      <w:bookmarkStart w:id="63" w:name="_Toc224103320"/>
      <w:bookmarkStart w:id="64" w:name="_Toc287620688"/>
      <w:bookmarkStart w:id="65" w:name="_Toc200513129"/>
      <w:bookmarkStart w:id="66" w:name="_Toc277082555"/>
      <w:bookmarkStart w:id="67" w:name="_Toc287607749"/>
      <w:bookmarkStart w:id="68" w:name="_Toc22034"/>
      <w:bookmarkStart w:id="69" w:name="_Toc386029650"/>
      <w:r>
        <w:rPr>
          <w:rFonts w:ascii="宋体" w:hAnsi="宋体"/>
          <w:b/>
          <w:snapToGrid w:val="0"/>
          <w:color w:val="auto"/>
          <w:kern w:val="0"/>
          <w:highlight w:val="none"/>
        </w:rPr>
        <w:t xml:space="preserve">1.3  </w:t>
      </w:r>
      <w:r>
        <w:rPr>
          <w:rFonts w:hint="eastAsia" w:ascii="宋体" w:hAnsi="宋体"/>
          <w:b/>
          <w:snapToGrid w:val="0"/>
          <w:color w:val="auto"/>
          <w:kern w:val="0"/>
          <w:highlight w:val="none"/>
        </w:rPr>
        <w:t>比选范围、计划工期和质量要求</w:t>
      </w:r>
      <w:bookmarkEnd w:id="62"/>
      <w:bookmarkEnd w:id="63"/>
      <w:bookmarkEnd w:id="64"/>
      <w:bookmarkEnd w:id="65"/>
      <w:bookmarkEnd w:id="66"/>
      <w:bookmarkEnd w:id="67"/>
      <w:bookmarkEnd w:id="68"/>
      <w:bookmarkEnd w:id="69"/>
    </w:p>
    <w:p w14:paraId="44021A7B">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cs="MingLiU"/>
          <w:snapToGrid w:val="0"/>
          <w:color w:val="auto"/>
          <w:kern w:val="0"/>
          <w:szCs w:val="21"/>
          <w:highlight w:val="none"/>
        </w:rPr>
        <w:t>本次</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范围：见投标人须知前附表。</w:t>
      </w:r>
    </w:p>
    <w:p w14:paraId="20D83350">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cs="MingLiU"/>
          <w:snapToGrid w:val="0"/>
          <w:color w:val="auto"/>
          <w:kern w:val="0"/>
          <w:szCs w:val="21"/>
          <w:highlight w:val="none"/>
        </w:rPr>
        <w:t>本标段的计划工期：见投标人须知前附表。</w:t>
      </w:r>
    </w:p>
    <w:p w14:paraId="256185E8">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1.3.3  </w:t>
      </w:r>
      <w:r>
        <w:rPr>
          <w:rFonts w:hint="eastAsia" w:ascii="宋体" w:hAnsi="宋体" w:cs="MingLiU"/>
          <w:snapToGrid w:val="0"/>
          <w:color w:val="auto"/>
          <w:kern w:val="0"/>
          <w:szCs w:val="21"/>
          <w:highlight w:val="none"/>
        </w:rPr>
        <w:t>本标段的质量要求：见投标人须知前附表。</w:t>
      </w:r>
    </w:p>
    <w:p w14:paraId="1A6EB786">
      <w:pPr>
        <w:autoSpaceDE w:val="0"/>
        <w:autoSpaceDN w:val="0"/>
        <w:adjustRightInd w:val="0"/>
        <w:snapToGrid w:val="0"/>
        <w:spacing w:line="320" w:lineRule="exact"/>
        <w:jc w:val="left"/>
        <w:rPr>
          <w:rFonts w:ascii="宋体" w:hAnsi="宋体"/>
          <w:b/>
          <w:snapToGrid w:val="0"/>
          <w:color w:val="auto"/>
          <w:kern w:val="0"/>
          <w:highlight w:val="none"/>
        </w:rPr>
      </w:pPr>
      <w:bookmarkStart w:id="70" w:name="_Toc11398"/>
      <w:bookmarkStart w:id="71" w:name="_Toc287607751"/>
      <w:bookmarkStart w:id="72" w:name="_Toc287620690"/>
      <w:bookmarkStart w:id="73" w:name="_Toc224103322"/>
      <w:bookmarkStart w:id="74" w:name="_Toc386029651"/>
      <w:bookmarkStart w:id="75" w:name="_Toc277082557"/>
      <w:bookmarkStart w:id="76" w:name="_Toc200513131"/>
      <w:bookmarkStart w:id="77" w:name="_Toc452058686"/>
      <w:r>
        <w:rPr>
          <w:rFonts w:ascii="宋体" w:hAnsi="宋体"/>
          <w:b/>
          <w:snapToGrid w:val="0"/>
          <w:color w:val="auto"/>
          <w:kern w:val="0"/>
          <w:highlight w:val="none"/>
        </w:rPr>
        <w:t xml:space="preserve">1.4  </w:t>
      </w:r>
      <w:r>
        <w:rPr>
          <w:rFonts w:hint="eastAsia" w:ascii="宋体" w:hAnsi="宋体"/>
          <w:b/>
          <w:snapToGrid w:val="0"/>
          <w:color w:val="auto"/>
          <w:kern w:val="0"/>
          <w:highlight w:val="none"/>
        </w:rPr>
        <w:t>投标人资格要求</w:t>
      </w:r>
      <w:bookmarkEnd w:id="70"/>
      <w:bookmarkEnd w:id="71"/>
      <w:bookmarkEnd w:id="72"/>
      <w:bookmarkEnd w:id="73"/>
      <w:bookmarkEnd w:id="74"/>
      <w:bookmarkEnd w:id="75"/>
      <w:bookmarkEnd w:id="76"/>
      <w:bookmarkEnd w:id="77"/>
    </w:p>
    <w:p w14:paraId="3251F8E6">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1.4.1 投标人应具备承担本标段施工的资质条件、能力和信誉。</w:t>
      </w:r>
    </w:p>
    <w:p w14:paraId="14B8DE6B">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（1）资质条件、营业执照及安全生产条件：见投标人须知前附表；</w:t>
      </w:r>
    </w:p>
    <w:p w14:paraId="21A7449D">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）投标截止日投标资格情况要求：见投标人须知前附表；</w:t>
      </w:r>
    </w:p>
    <w:p w14:paraId="04E35485">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）项目经理资格：见投标人须知前附表；</w:t>
      </w:r>
    </w:p>
    <w:p w14:paraId="3248E4CE">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val="en-US" w:eastAsia="zh-CN"/>
        </w:rPr>
        <w:t>4</w:t>
      </w:r>
      <w:r>
        <w:rPr>
          <w:rFonts w:hint="eastAsia" w:ascii="宋体" w:hAnsi="宋体" w:cs="MingLiU"/>
          <w:snapToGrid w:val="0"/>
          <w:color w:val="auto"/>
          <w:kern w:val="0"/>
          <w:szCs w:val="21"/>
          <w:highlight w:val="none"/>
        </w:rPr>
        <w:t>）其他要求：见投标人须知前附表。</w:t>
      </w:r>
    </w:p>
    <w:p w14:paraId="6322715F">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1.4.2  投标人须知前附表规定接受联合体投标的，除应符合本章第1.4.1项和投标人须知前附表的要求外，还应遵守以下规定：</w:t>
      </w:r>
    </w:p>
    <w:p w14:paraId="6531465E">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（1）联合体各方应按</w:t>
      </w:r>
      <w:r>
        <w:rPr>
          <w:rFonts w:hint="eastAsia" w:ascii="宋体" w:hAnsi="宋体" w:cs="MingLiU"/>
          <w:snapToGrid w:val="0"/>
          <w:color w:val="auto"/>
          <w:kern w:val="0"/>
          <w:szCs w:val="21"/>
          <w:highlight w:val="none"/>
          <w:lang w:eastAsia="zh-CN"/>
        </w:rPr>
        <w:t>比选文件</w:t>
      </w:r>
      <w:r>
        <w:rPr>
          <w:rFonts w:hint="eastAsia" w:ascii="宋体" w:hAnsi="宋体" w:cs="MingLiU"/>
          <w:snapToGrid w:val="0"/>
          <w:color w:val="auto"/>
          <w:kern w:val="0"/>
          <w:szCs w:val="21"/>
          <w:highlight w:val="none"/>
        </w:rPr>
        <w:t>提供的格式签订联合体协议书，明确联合体牵头人和各方权利义务；</w:t>
      </w:r>
    </w:p>
    <w:p w14:paraId="5673326F">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（2）联合体各方均应当具备承担招标项目的相应能力；联合体协议约定同一专业分工由两个及以上单位共同承担的，按照就低不就高的原则确定联合体资质；</w:t>
      </w:r>
    </w:p>
    <w:p w14:paraId="72A1A11A">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（3）联合体各方不得再以自己名义单独或参加其他联合体在同一标段中投标。</w:t>
      </w:r>
    </w:p>
    <w:p w14:paraId="3FE84802">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1.4.3  投标人不得存在下列情形之一：</w:t>
      </w:r>
    </w:p>
    <w:p w14:paraId="7E6A8A60">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（1）与</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存在利害关系可能影响招标公正性的法人、其他组织或者个人；</w:t>
      </w:r>
    </w:p>
    <w:p w14:paraId="5CA3C958">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（2）为本标段前期准备提供设计或咨询服务的，但设计施工总承包的除外；</w:t>
      </w:r>
    </w:p>
    <w:p w14:paraId="4206A2DA">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（3）为本标段的监理人；</w:t>
      </w:r>
    </w:p>
    <w:p w14:paraId="1E11795A">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（4）为本标段的代建人；</w:t>
      </w:r>
    </w:p>
    <w:p w14:paraId="4FFCE28A">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（5）为本标段提供招标代理服务的；</w:t>
      </w:r>
    </w:p>
    <w:p w14:paraId="0F8CB62E">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（6）与本标段的监理人或代建人或招标代理机构同为一个法定代表人的；</w:t>
      </w:r>
    </w:p>
    <w:p w14:paraId="5427385A">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（7）与本标段的监理人或代建人或招标代理机构相互控股或参股的；</w:t>
      </w:r>
    </w:p>
    <w:p w14:paraId="68E42A6B">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（8）与本标段的监理人或代建人或招标代理机构相互任职或工作的；</w:t>
      </w:r>
    </w:p>
    <w:p w14:paraId="21B883F1">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（9）被责令停业的；</w:t>
      </w:r>
    </w:p>
    <w:p w14:paraId="528E91DC">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（10）被国家、重庆市（含市或任意区县）有关行政部门处以暂停投标资格行政处罚，且在处罚期限内的；</w:t>
      </w:r>
    </w:p>
    <w:p w14:paraId="1CFDEF83">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（11）财产被接管或冻结的；</w:t>
      </w:r>
    </w:p>
    <w:p w14:paraId="6A1F5A30">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（12）单位负责人为同一人或者存在控股、管理关系的不同单位，不得在同一标段中同时投标。</w:t>
      </w:r>
    </w:p>
    <w:p w14:paraId="6E7547B2">
      <w:pPr>
        <w:autoSpaceDE w:val="0"/>
        <w:autoSpaceDN w:val="0"/>
        <w:adjustRightInd w:val="0"/>
        <w:snapToGrid w:val="0"/>
        <w:spacing w:line="320" w:lineRule="exact"/>
        <w:jc w:val="left"/>
        <w:rPr>
          <w:rFonts w:ascii="宋体" w:hAnsi="宋体"/>
          <w:b/>
          <w:snapToGrid w:val="0"/>
          <w:color w:val="auto"/>
          <w:kern w:val="0"/>
          <w:highlight w:val="none"/>
        </w:rPr>
      </w:pPr>
      <w:bookmarkStart w:id="78" w:name="_Toc287620691"/>
      <w:bookmarkStart w:id="79" w:name="_Toc1875"/>
      <w:bookmarkStart w:id="80" w:name="_Toc277082558"/>
      <w:bookmarkStart w:id="81" w:name="_Toc386029652"/>
      <w:bookmarkStart w:id="82" w:name="_Toc452058687"/>
      <w:bookmarkStart w:id="83" w:name="_Toc287607752"/>
      <w:bookmarkStart w:id="84" w:name="_Toc224103323"/>
      <w:bookmarkStart w:id="85" w:name="_Toc200513132"/>
      <w:r>
        <w:rPr>
          <w:rFonts w:ascii="宋体" w:hAnsi="宋体"/>
          <w:b/>
          <w:snapToGrid w:val="0"/>
          <w:color w:val="auto"/>
          <w:kern w:val="0"/>
          <w:highlight w:val="none"/>
        </w:rPr>
        <w:t xml:space="preserve">1.5  </w:t>
      </w:r>
      <w:r>
        <w:rPr>
          <w:rFonts w:hint="eastAsia" w:ascii="宋体" w:hAnsi="宋体"/>
          <w:b/>
          <w:snapToGrid w:val="0"/>
          <w:color w:val="auto"/>
          <w:kern w:val="0"/>
          <w:highlight w:val="none"/>
        </w:rPr>
        <w:t>费用承担</w:t>
      </w:r>
      <w:bookmarkEnd w:id="78"/>
      <w:bookmarkEnd w:id="79"/>
      <w:bookmarkEnd w:id="80"/>
      <w:bookmarkEnd w:id="81"/>
      <w:bookmarkEnd w:id="82"/>
      <w:bookmarkEnd w:id="83"/>
      <w:bookmarkEnd w:id="84"/>
      <w:bookmarkEnd w:id="85"/>
    </w:p>
    <w:p w14:paraId="732920B3">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投标人准备和参加投标活动发生的费用自理。</w:t>
      </w:r>
    </w:p>
    <w:p w14:paraId="5A15D3E5">
      <w:pPr>
        <w:autoSpaceDE w:val="0"/>
        <w:autoSpaceDN w:val="0"/>
        <w:adjustRightInd w:val="0"/>
        <w:snapToGrid w:val="0"/>
        <w:spacing w:line="320" w:lineRule="exact"/>
        <w:jc w:val="left"/>
        <w:rPr>
          <w:rFonts w:ascii="宋体" w:hAnsi="宋体"/>
          <w:b/>
          <w:snapToGrid w:val="0"/>
          <w:color w:val="auto"/>
          <w:kern w:val="0"/>
          <w:highlight w:val="none"/>
        </w:rPr>
      </w:pPr>
      <w:bookmarkStart w:id="86" w:name="_Toc452058688"/>
      <w:bookmarkStart w:id="87" w:name="_Toc287620692"/>
      <w:bookmarkStart w:id="88" w:name="_Toc200513133"/>
      <w:bookmarkStart w:id="89" w:name="_Toc386029653"/>
      <w:bookmarkStart w:id="90" w:name="_Toc277082559"/>
      <w:bookmarkStart w:id="91" w:name="_Toc224103324"/>
      <w:bookmarkStart w:id="92" w:name="_Toc287607753"/>
      <w:bookmarkStart w:id="93" w:name="_Toc7780"/>
      <w:r>
        <w:rPr>
          <w:rFonts w:ascii="宋体" w:hAnsi="宋体"/>
          <w:b/>
          <w:snapToGrid w:val="0"/>
          <w:color w:val="auto"/>
          <w:kern w:val="0"/>
          <w:highlight w:val="none"/>
        </w:rPr>
        <w:t xml:space="preserve">1.6  </w:t>
      </w:r>
      <w:r>
        <w:rPr>
          <w:rFonts w:hint="eastAsia" w:ascii="宋体" w:hAnsi="宋体"/>
          <w:b/>
          <w:snapToGrid w:val="0"/>
          <w:color w:val="auto"/>
          <w:kern w:val="0"/>
          <w:highlight w:val="none"/>
        </w:rPr>
        <w:t>保密</w:t>
      </w:r>
      <w:bookmarkEnd w:id="86"/>
      <w:bookmarkEnd w:id="87"/>
      <w:bookmarkEnd w:id="88"/>
      <w:bookmarkEnd w:id="89"/>
      <w:bookmarkEnd w:id="90"/>
      <w:bookmarkEnd w:id="91"/>
      <w:bookmarkEnd w:id="92"/>
      <w:bookmarkEnd w:id="93"/>
    </w:p>
    <w:p w14:paraId="7CB29E9D">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参与招标投标活动的各方应对</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文件和投标文件中的商业和技术等秘密保密，违者应对由此造成的后果承担法律责任。</w:t>
      </w:r>
    </w:p>
    <w:p w14:paraId="770E90DF">
      <w:pPr>
        <w:autoSpaceDE w:val="0"/>
        <w:autoSpaceDN w:val="0"/>
        <w:adjustRightInd w:val="0"/>
        <w:snapToGrid w:val="0"/>
        <w:spacing w:line="320" w:lineRule="exact"/>
        <w:jc w:val="left"/>
        <w:rPr>
          <w:rFonts w:ascii="宋体" w:hAnsi="宋体"/>
          <w:b/>
          <w:snapToGrid w:val="0"/>
          <w:color w:val="auto"/>
          <w:kern w:val="0"/>
          <w:highlight w:val="none"/>
        </w:rPr>
      </w:pPr>
      <w:bookmarkStart w:id="94" w:name="_Toc23797"/>
      <w:bookmarkStart w:id="95" w:name="_Toc386029654"/>
      <w:bookmarkStart w:id="96" w:name="_Toc287620693"/>
      <w:bookmarkStart w:id="97" w:name="_Toc287607754"/>
      <w:bookmarkStart w:id="98" w:name="_Toc452058689"/>
      <w:bookmarkStart w:id="99" w:name="_Toc277082560"/>
      <w:bookmarkStart w:id="100" w:name="_Toc224103325"/>
      <w:bookmarkStart w:id="101" w:name="_Toc200513134"/>
      <w:r>
        <w:rPr>
          <w:rFonts w:ascii="宋体" w:hAnsi="宋体"/>
          <w:b/>
          <w:snapToGrid w:val="0"/>
          <w:color w:val="auto"/>
          <w:kern w:val="0"/>
          <w:highlight w:val="none"/>
        </w:rPr>
        <w:t xml:space="preserve">1.7  </w:t>
      </w:r>
      <w:r>
        <w:rPr>
          <w:rFonts w:hint="eastAsia" w:ascii="宋体" w:hAnsi="宋体"/>
          <w:b/>
          <w:snapToGrid w:val="0"/>
          <w:color w:val="auto"/>
          <w:kern w:val="0"/>
          <w:highlight w:val="none"/>
        </w:rPr>
        <w:t>语言文字</w:t>
      </w:r>
      <w:bookmarkEnd w:id="94"/>
      <w:bookmarkEnd w:id="95"/>
      <w:bookmarkEnd w:id="96"/>
      <w:bookmarkEnd w:id="97"/>
      <w:bookmarkEnd w:id="98"/>
      <w:bookmarkEnd w:id="99"/>
      <w:bookmarkEnd w:id="100"/>
      <w:bookmarkEnd w:id="101"/>
    </w:p>
    <w:p w14:paraId="1EC83E94">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除专用术语外，与招标投标有关的语言均使用中文。必要时专用术语应附有中文注释。</w:t>
      </w:r>
    </w:p>
    <w:p w14:paraId="6F6C0AA3">
      <w:pPr>
        <w:autoSpaceDE w:val="0"/>
        <w:autoSpaceDN w:val="0"/>
        <w:adjustRightInd w:val="0"/>
        <w:snapToGrid w:val="0"/>
        <w:spacing w:line="320" w:lineRule="exact"/>
        <w:jc w:val="left"/>
        <w:rPr>
          <w:rFonts w:ascii="宋体" w:hAnsi="宋体"/>
          <w:b/>
          <w:snapToGrid w:val="0"/>
          <w:color w:val="auto"/>
          <w:kern w:val="0"/>
          <w:highlight w:val="none"/>
        </w:rPr>
      </w:pPr>
      <w:bookmarkStart w:id="102" w:name="_Toc386029655"/>
      <w:bookmarkStart w:id="103" w:name="_Toc200513135"/>
      <w:bookmarkStart w:id="104" w:name="_Toc287620694"/>
      <w:bookmarkStart w:id="105" w:name="_Toc26466"/>
      <w:bookmarkStart w:id="106" w:name="_Toc287607755"/>
      <w:bookmarkStart w:id="107" w:name="_Toc452058690"/>
      <w:bookmarkStart w:id="108" w:name="_Toc277082561"/>
      <w:bookmarkStart w:id="109" w:name="_Toc224103326"/>
      <w:r>
        <w:rPr>
          <w:rFonts w:ascii="宋体" w:hAnsi="宋体"/>
          <w:b/>
          <w:snapToGrid w:val="0"/>
          <w:color w:val="auto"/>
          <w:kern w:val="0"/>
          <w:highlight w:val="none"/>
        </w:rPr>
        <w:t xml:space="preserve">1.8  </w:t>
      </w:r>
      <w:r>
        <w:rPr>
          <w:rFonts w:hint="eastAsia" w:ascii="宋体" w:hAnsi="宋体"/>
          <w:b/>
          <w:snapToGrid w:val="0"/>
          <w:color w:val="auto"/>
          <w:kern w:val="0"/>
          <w:highlight w:val="none"/>
        </w:rPr>
        <w:t>计量单位</w:t>
      </w:r>
      <w:bookmarkEnd w:id="102"/>
      <w:bookmarkEnd w:id="103"/>
      <w:bookmarkEnd w:id="104"/>
      <w:bookmarkEnd w:id="105"/>
      <w:bookmarkEnd w:id="106"/>
      <w:bookmarkEnd w:id="107"/>
      <w:bookmarkEnd w:id="108"/>
      <w:bookmarkEnd w:id="109"/>
    </w:p>
    <w:p w14:paraId="32E46523">
      <w:pPr>
        <w:autoSpaceDE w:val="0"/>
        <w:autoSpaceDN w:val="0"/>
        <w:adjustRightInd w:val="0"/>
        <w:snapToGrid w:val="0"/>
        <w:spacing w:line="320" w:lineRule="exact"/>
        <w:ind w:firstLine="424" w:firstLineChars="202"/>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所有计量均采用中华人民共和国法定计量单位。</w:t>
      </w:r>
    </w:p>
    <w:p w14:paraId="5325672D">
      <w:pPr>
        <w:autoSpaceDE w:val="0"/>
        <w:autoSpaceDN w:val="0"/>
        <w:adjustRightInd w:val="0"/>
        <w:snapToGrid w:val="0"/>
        <w:spacing w:line="320" w:lineRule="exact"/>
        <w:jc w:val="left"/>
        <w:rPr>
          <w:rFonts w:ascii="宋体" w:hAnsi="宋体"/>
          <w:b/>
          <w:snapToGrid w:val="0"/>
          <w:color w:val="auto"/>
          <w:kern w:val="0"/>
          <w:highlight w:val="none"/>
        </w:rPr>
      </w:pPr>
      <w:bookmarkStart w:id="110" w:name="_Toc452058691"/>
      <w:bookmarkStart w:id="111" w:name="_Toc277082562"/>
      <w:bookmarkStart w:id="112" w:name="_Toc287620695"/>
      <w:bookmarkStart w:id="113" w:name="_Toc287607756"/>
      <w:bookmarkStart w:id="114" w:name="_Toc200513136"/>
      <w:bookmarkStart w:id="115" w:name="_Toc224103327"/>
      <w:bookmarkStart w:id="116" w:name="_Toc16750"/>
      <w:bookmarkStart w:id="117" w:name="_Toc386029656"/>
      <w:r>
        <w:rPr>
          <w:rFonts w:ascii="宋体" w:hAnsi="宋体"/>
          <w:b/>
          <w:snapToGrid w:val="0"/>
          <w:color w:val="auto"/>
          <w:kern w:val="0"/>
          <w:highlight w:val="none"/>
        </w:rPr>
        <w:t xml:space="preserve">1.9  </w:t>
      </w:r>
      <w:r>
        <w:rPr>
          <w:rFonts w:hint="eastAsia" w:ascii="宋体" w:hAnsi="宋体"/>
          <w:b/>
          <w:snapToGrid w:val="0"/>
          <w:color w:val="auto"/>
          <w:kern w:val="0"/>
          <w:highlight w:val="none"/>
        </w:rPr>
        <w:t>踏勘现场</w:t>
      </w:r>
      <w:bookmarkEnd w:id="110"/>
      <w:bookmarkEnd w:id="111"/>
      <w:bookmarkEnd w:id="112"/>
      <w:bookmarkEnd w:id="113"/>
      <w:bookmarkEnd w:id="114"/>
      <w:bookmarkEnd w:id="115"/>
      <w:bookmarkEnd w:id="116"/>
      <w:bookmarkEnd w:id="117"/>
    </w:p>
    <w:p w14:paraId="11BB05FF">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1.9.1  </w:t>
      </w:r>
      <w:r>
        <w:rPr>
          <w:rFonts w:hint="eastAsia" w:ascii="宋体" w:hAnsi="宋体" w:cs="MingLiU"/>
          <w:snapToGrid w:val="0"/>
          <w:color w:val="auto"/>
          <w:kern w:val="0"/>
          <w:szCs w:val="21"/>
          <w:highlight w:val="none"/>
        </w:rPr>
        <w:t>由投标人自行踏勘项目现场。</w:t>
      </w:r>
    </w:p>
    <w:p w14:paraId="012D127B">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1.9.2  </w:t>
      </w:r>
      <w:r>
        <w:rPr>
          <w:rFonts w:hint="eastAsia" w:ascii="宋体" w:hAnsi="宋体" w:cs="MingLiU"/>
          <w:snapToGrid w:val="0"/>
          <w:color w:val="auto"/>
          <w:kern w:val="0"/>
          <w:szCs w:val="21"/>
          <w:highlight w:val="none"/>
        </w:rPr>
        <w:t>投标人踏勘现场发生的费用自理。</w:t>
      </w:r>
    </w:p>
    <w:p w14:paraId="45857BAB">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1.9.3 </w:t>
      </w:r>
      <w:r>
        <w:rPr>
          <w:rFonts w:hint="eastAsia" w:ascii="宋体" w:hAnsi="宋体" w:cs="MingLiU"/>
          <w:snapToGrid w:val="0"/>
          <w:color w:val="auto"/>
          <w:kern w:val="0"/>
          <w:szCs w:val="21"/>
          <w:highlight w:val="none"/>
        </w:rPr>
        <w:t xml:space="preserve"> 投标人自行负责在踏勘现场中所发生的人员伤亡和财产损失。</w:t>
      </w:r>
    </w:p>
    <w:p w14:paraId="60AD31CE">
      <w:pPr>
        <w:autoSpaceDE w:val="0"/>
        <w:autoSpaceDN w:val="0"/>
        <w:adjustRightInd w:val="0"/>
        <w:snapToGrid w:val="0"/>
        <w:spacing w:line="320" w:lineRule="exact"/>
        <w:jc w:val="left"/>
        <w:rPr>
          <w:rFonts w:ascii="宋体" w:hAnsi="宋体"/>
          <w:b/>
          <w:snapToGrid w:val="0"/>
          <w:color w:val="auto"/>
          <w:kern w:val="0"/>
          <w:highlight w:val="none"/>
        </w:rPr>
      </w:pPr>
      <w:bookmarkStart w:id="118" w:name="_Toc386029657"/>
      <w:bookmarkStart w:id="119" w:name="_Toc200513137"/>
      <w:bookmarkStart w:id="120" w:name="_Toc452058692"/>
      <w:bookmarkStart w:id="121" w:name="_Toc277082563"/>
      <w:bookmarkStart w:id="122" w:name="_Toc224103328"/>
      <w:bookmarkStart w:id="123" w:name="_Toc287620696"/>
      <w:bookmarkStart w:id="124" w:name="_Toc287607757"/>
      <w:bookmarkStart w:id="125" w:name="_Toc9283"/>
      <w:r>
        <w:rPr>
          <w:rFonts w:ascii="宋体" w:hAnsi="宋体"/>
          <w:b/>
          <w:snapToGrid w:val="0"/>
          <w:color w:val="auto"/>
          <w:kern w:val="0"/>
          <w:highlight w:val="none"/>
        </w:rPr>
        <w:t xml:space="preserve">1.10  </w:t>
      </w:r>
      <w:r>
        <w:rPr>
          <w:rFonts w:hint="eastAsia" w:ascii="宋体" w:hAnsi="宋体"/>
          <w:b/>
          <w:snapToGrid w:val="0"/>
          <w:color w:val="auto"/>
          <w:kern w:val="0"/>
          <w:highlight w:val="none"/>
        </w:rPr>
        <w:t>投标预备会</w:t>
      </w:r>
      <w:bookmarkEnd w:id="118"/>
      <w:bookmarkEnd w:id="119"/>
      <w:bookmarkEnd w:id="120"/>
      <w:bookmarkEnd w:id="121"/>
      <w:bookmarkEnd w:id="122"/>
      <w:bookmarkEnd w:id="123"/>
      <w:bookmarkEnd w:id="124"/>
      <w:bookmarkEnd w:id="125"/>
      <w:bookmarkStart w:id="126" w:name="_Toc224103329"/>
      <w:bookmarkStart w:id="127" w:name="_Toc277082564"/>
      <w:bookmarkStart w:id="128" w:name="_Toc287607758"/>
      <w:bookmarkStart w:id="129" w:name="_Toc287620697"/>
      <w:bookmarkStart w:id="130" w:name="_Toc200513138"/>
    </w:p>
    <w:p w14:paraId="33E4EB2C">
      <w:pPr>
        <w:spacing w:line="320" w:lineRule="exact"/>
        <w:ind w:firstLine="420" w:firstLineChars="200"/>
        <w:rPr>
          <w:rFonts w:ascii="宋体" w:hAnsi="宋体" w:cs="宋体"/>
          <w:snapToGrid w:val="0"/>
          <w:color w:val="auto"/>
          <w:kern w:val="0"/>
          <w:sz w:val="24"/>
          <w:highlight w:val="none"/>
        </w:rPr>
      </w:pPr>
      <w:r>
        <w:rPr>
          <w:rFonts w:hint="eastAsia" w:ascii="宋体" w:hAnsi="宋体"/>
          <w:color w:val="auto"/>
          <w:szCs w:val="21"/>
          <w:highlight w:val="none"/>
        </w:rPr>
        <w:t>本工程不召开投标预备会。</w:t>
      </w:r>
    </w:p>
    <w:p w14:paraId="34ABB264">
      <w:pPr>
        <w:autoSpaceDE w:val="0"/>
        <w:autoSpaceDN w:val="0"/>
        <w:adjustRightInd w:val="0"/>
        <w:snapToGrid w:val="0"/>
        <w:spacing w:line="320" w:lineRule="exact"/>
        <w:jc w:val="left"/>
        <w:rPr>
          <w:rFonts w:ascii="宋体" w:hAnsi="宋体"/>
          <w:b/>
          <w:snapToGrid w:val="0"/>
          <w:color w:val="auto"/>
          <w:kern w:val="0"/>
          <w:highlight w:val="none"/>
        </w:rPr>
      </w:pPr>
      <w:bookmarkStart w:id="131" w:name="_Toc452058693"/>
      <w:bookmarkStart w:id="132" w:name="_Toc386029658"/>
      <w:bookmarkStart w:id="133" w:name="_Toc21003"/>
      <w:r>
        <w:rPr>
          <w:rFonts w:ascii="宋体" w:hAnsi="宋体"/>
          <w:b/>
          <w:snapToGrid w:val="0"/>
          <w:color w:val="auto"/>
          <w:kern w:val="0"/>
          <w:highlight w:val="none"/>
        </w:rPr>
        <w:t xml:space="preserve">1.11  </w:t>
      </w:r>
      <w:r>
        <w:rPr>
          <w:rFonts w:hint="eastAsia" w:ascii="宋体" w:hAnsi="宋体"/>
          <w:b/>
          <w:snapToGrid w:val="0"/>
          <w:color w:val="auto"/>
          <w:kern w:val="0"/>
          <w:highlight w:val="none"/>
        </w:rPr>
        <w:t>分包</w:t>
      </w:r>
      <w:bookmarkEnd w:id="126"/>
      <w:bookmarkEnd w:id="127"/>
      <w:bookmarkEnd w:id="128"/>
      <w:bookmarkEnd w:id="129"/>
      <w:bookmarkEnd w:id="130"/>
      <w:bookmarkEnd w:id="131"/>
      <w:bookmarkEnd w:id="132"/>
      <w:bookmarkEnd w:id="133"/>
    </w:p>
    <w:p w14:paraId="7CE36F2D">
      <w:pPr>
        <w:spacing w:line="320" w:lineRule="exact"/>
        <w:ind w:firstLine="420" w:firstLineChars="200"/>
        <w:rPr>
          <w:rFonts w:ascii="宋体" w:hAnsi="宋体"/>
          <w:color w:val="auto"/>
          <w:szCs w:val="21"/>
          <w:highlight w:val="none"/>
        </w:rPr>
      </w:pPr>
      <w:bookmarkStart w:id="134" w:name="_Toc277082565"/>
      <w:bookmarkStart w:id="135" w:name="_Toc2639"/>
      <w:bookmarkStart w:id="136" w:name="_Toc200513139"/>
      <w:bookmarkStart w:id="137" w:name="_Toc224103330"/>
      <w:bookmarkStart w:id="138" w:name="_Toc287620698"/>
      <w:bookmarkStart w:id="139" w:name="_Toc386029659"/>
      <w:bookmarkStart w:id="140" w:name="_Toc287607759"/>
      <w:r>
        <w:rPr>
          <w:rFonts w:hint="eastAsia" w:ascii="宋体" w:hAnsi="宋体"/>
          <w:color w:val="auto"/>
          <w:szCs w:val="21"/>
          <w:highlight w:val="none"/>
        </w:rPr>
        <w:t>本工程（劳务除外）不允许分包。</w:t>
      </w:r>
    </w:p>
    <w:p w14:paraId="4E5D0EB0">
      <w:pPr>
        <w:autoSpaceDE w:val="0"/>
        <w:autoSpaceDN w:val="0"/>
        <w:adjustRightInd w:val="0"/>
        <w:snapToGrid w:val="0"/>
        <w:spacing w:line="320" w:lineRule="exact"/>
        <w:jc w:val="left"/>
        <w:rPr>
          <w:rFonts w:ascii="宋体" w:hAnsi="宋体"/>
          <w:b/>
          <w:snapToGrid w:val="0"/>
          <w:color w:val="auto"/>
          <w:kern w:val="0"/>
          <w:highlight w:val="none"/>
        </w:rPr>
      </w:pPr>
      <w:bookmarkStart w:id="141" w:name="_Toc452058694"/>
      <w:r>
        <w:rPr>
          <w:rFonts w:ascii="宋体" w:hAnsi="宋体"/>
          <w:b/>
          <w:snapToGrid w:val="0"/>
          <w:color w:val="auto"/>
          <w:kern w:val="0"/>
          <w:highlight w:val="none"/>
        </w:rPr>
        <w:t xml:space="preserve">1.12  </w:t>
      </w:r>
      <w:r>
        <w:rPr>
          <w:rFonts w:hint="eastAsia" w:ascii="宋体" w:hAnsi="宋体"/>
          <w:b/>
          <w:snapToGrid w:val="0"/>
          <w:color w:val="auto"/>
          <w:kern w:val="0"/>
          <w:highlight w:val="none"/>
        </w:rPr>
        <w:t>偏离</w:t>
      </w:r>
      <w:bookmarkEnd w:id="134"/>
      <w:bookmarkEnd w:id="135"/>
      <w:bookmarkEnd w:id="136"/>
      <w:bookmarkEnd w:id="137"/>
      <w:bookmarkEnd w:id="138"/>
      <w:bookmarkEnd w:id="139"/>
      <w:bookmarkEnd w:id="140"/>
      <w:bookmarkEnd w:id="141"/>
    </w:p>
    <w:p w14:paraId="001868A8">
      <w:pPr>
        <w:autoSpaceDE w:val="0"/>
        <w:autoSpaceDN w:val="0"/>
        <w:adjustRightInd w:val="0"/>
        <w:snapToGrid w:val="0"/>
        <w:spacing w:line="320" w:lineRule="exact"/>
        <w:ind w:firstLine="425"/>
        <w:jc w:val="left"/>
        <w:rPr>
          <w:rFonts w:ascii="宋体" w:hAnsi="宋体" w:cs="宋体"/>
          <w:snapToGrid w:val="0"/>
          <w:color w:val="auto"/>
          <w:kern w:val="0"/>
          <w:sz w:val="24"/>
          <w:highlight w:val="none"/>
        </w:rPr>
      </w:pPr>
      <w:bookmarkStart w:id="142" w:name="_Toc224103331"/>
      <w:bookmarkStart w:id="143" w:name="_Toc277082566"/>
      <w:bookmarkStart w:id="144" w:name="_Toc287607760"/>
      <w:bookmarkStart w:id="145" w:name="_Toc386029660"/>
      <w:bookmarkStart w:id="146" w:name="_Toc3930"/>
      <w:bookmarkStart w:id="147" w:name="_Toc200513140"/>
      <w:bookmarkStart w:id="148" w:name="_Toc8538"/>
      <w:r>
        <w:rPr>
          <w:rFonts w:hint="eastAsia" w:ascii="宋体" w:hAnsi="宋体" w:cs="MingLiU"/>
          <w:snapToGrid w:val="0"/>
          <w:color w:val="auto"/>
          <w:kern w:val="0"/>
          <w:szCs w:val="21"/>
          <w:highlight w:val="none"/>
        </w:rPr>
        <w:t>投标人须知前附表允许投标文件偏离</w:t>
      </w:r>
      <w:r>
        <w:rPr>
          <w:rFonts w:hint="eastAsia" w:ascii="宋体" w:hAnsi="宋体" w:cs="MingLiU"/>
          <w:snapToGrid w:val="0"/>
          <w:color w:val="auto"/>
          <w:kern w:val="0"/>
          <w:szCs w:val="21"/>
          <w:highlight w:val="none"/>
          <w:lang w:eastAsia="zh-CN"/>
        </w:rPr>
        <w:t>比选文件</w:t>
      </w:r>
      <w:r>
        <w:rPr>
          <w:rFonts w:hint="eastAsia" w:ascii="宋体" w:hAnsi="宋体" w:cs="MingLiU"/>
          <w:snapToGrid w:val="0"/>
          <w:color w:val="auto"/>
          <w:kern w:val="0"/>
          <w:szCs w:val="21"/>
          <w:highlight w:val="none"/>
        </w:rPr>
        <w:t>某些要求的，偏离应当符合</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文件规定的偏离范围和幅度。</w:t>
      </w:r>
    </w:p>
    <w:p w14:paraId="0DD9A914">
      <w:pPr>
        <w:autoSpaceDE w:val="0"/>
        <w:autoSpaceDN w:val="0"/>
        <w:adjustRightInd w:val="0"/>
        <w:snapToGrid w:val="0"/>
        <w:spacing w:line="320" w:lineRule="exact"/>
        <w:jc w:val="left"/>
        <w:rPr>
          <w:rFonts w:ascii="宋体" w:hAnsi="宋体"/>
          <w:b/>
          <w:snapToGrid w:val="0"/>
          <w:color w:val="auto"/>
          <w:kern w:val="0"/>
          <w:highlight w:val="none"/>
        </w:rPr>
      </w:pPr>
      <w:bookmarkStart w:id="149" w:name="_Toc452058695"/>
      <w:r>
        <w:rPr>
          <w:rFonts w:ascii="宋体" w:hAnsi="宋体"/>
          <w:b/>
          <w:snapToGrid w:val="0"/>
          <w:color w:val="auto"/>
          <w:kern w:val="0"/>
          <w:highlight w:val="none"/>
        </w:rPr>
        <w:t xml:space="preserve">2.  </w:t>
      </w:r>
      <w:r>
        <w:rPr>
          <w:rFonts w:hint="eastAsia" w:ascii="宋体" w:hAnsi="宋体"/>
          <w:b/>
          <w:snapToGrid w:val="0"/>
          <w:color w:val="auto"/>
          <w:kern w:val="0"/>
          <w:highlight w:val="none"/>
        </w:rPr>
        <w:t>竞争性比选文件</w:t>
      </w:r>
      <w:bookmarkEnd w:id="142"/>
      <w:bookmarkEnd w:id="143"/>
      <w:bookmarkEnd w:id="144"/>
      <w:bookmarkEnd w:id="145"/>
      <w:bookmarkEnd w:id="146"/>
      <w:bookmarkEnd w:id="147"/>
      <w:bookmarkEnd w:id="148"/>
      <w:bookmarkEnd w:id="149"/>
    </w:p>
    <w:p w14:paraId="5D9C5621">
      <w:pPr>
        <w:autoSpaceDE w:val="0"/>
        <w:autoSpaceDN w:val="0"/>
        <w:adjustRightInd w:val="0"/>
        <w:snapToGrid w:val="0"/>
        <w:spacing w:line="320" w:lineRule="exact"/>
        <w:jc w:val="left"/>
        <w:rPr>
          <w:rFonts w:ascii="宋体" w:hAnsi="宋体"/>
          <w:b/>
          <w:snapToGrid w:val="0"/>
          <w:color w:val="auto"/>
          <w:kern w:val="0"/>
          <w:highlight w:val="none"/>
        </w:rPr>
      </w:pPr>
      <w:bookmarkStart w:id="150" w:name="_Toc386029661"/>
      <w:bookmarkStart w:id="151" w:name="_Toc200513141"/>
      <w:bookmarkStart w:id="152" w:name="_Toc24222"/>
      <w:bookmarkStart w:id="153" w:name="_Toc287620700"/>
      <w:bookmarkStart w:id="154" w:name="_Toc277082567"/>
      <w:bookmarkStart w:id="155" w:name="_Toc224103332"/>
      <w:bookmarkStart w:id="156" w:name="_Toc452058696"/>
      <w:bookmarkStart w:id="157" w:name="_Toc287607761"/>
      <w:r>
        <w:rPr>
          <w:rFonts w:ascii="宋体" w:hAnsi="宋体"/>
          <w:b/>
          <w:snapToGrid w:val="0"/>
          <w:color w:val="auto"/>
          <w:kern w:val="0"/>
          <w:highlight w:val="none"/>
        </w:rPr>
        <w:t xml:space="preserve">2.1  </w:t>
      </w:r>
      <w:r>
        <w:rPr>
          <w:rFonts w:hint="eastAsia" w:ascii="宋体" w:hAnsi="宋体"/>
          <w:b/>
          <w:snapToGrid w:val="0"/>
          <w:color w:val="auto"/>
          <w:kern w:val="0"/>
          <w:highlight w:val="none"/>
        </w:rPr>
        <w:t>竞争性比选文件的组成</w:t>
      </w:r>
      <w:bookmarkEnd w:id="150"/>
      <w:bookmarkEnd w:id="151"/>
      <w:bookmarkEnd w:id="152"/>
      <w:bookmarkEnd w:id="153"/>
      <w:bookmarkEnd w:id="154"/>
      <w:bookmarkEnd w:id="155"/>
      <w:bookmarkEnd w:id="156"/>
      <w:bookmarkEnd w:id="157"/>
    </w:p>
    <w:p w14:paraId="38C77773">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本</w:t>
      </w:r>
      <w:r>
        <w:rPr>
          <w:rFonts w:hint="eastAsia" w:ascii="宋体" w:hAnsi="宋体" w:cs="MingLiU"/>
          <w:snapToGrid w:val="0"/>
          <w:color w:val="auto"/>
          <w:kern w:val="0"/>
          <w:szCs w:val="21"/>
          <w:highlight w:val="none"/>
          <w:lang w:eastAsia="zh-CN"/>
        </w:rPr>
        <w:t>比选文件</w:t>
      </w:r>
      <w:r>
        <w:rPr>
          <w:rFonts w:hint="eastAsia" w:ascii="宋体" w:hAnsi="宋体" w:cs="MingLiU"/>
          <w:snapToGrid w:val="0"/>
          <w:color w:val="auto"/>
          <w:kern w:val="0"/>
          <w:szCs w:val="21"/>
          <w:highlight w:val="none"/>
        </w:rPr>
        <w:t>包括：</w:t>
      </w:r>
    </w:p>
    <w:p w14:paraId="01538B55">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1</w:t>
      </w:r>
      <w:r>
        <w:rPr>
          <w:rFonts w:hint="eastAsia" w:ascii="宋体" w:hAnsi="宋体" w:cs="MingLiU"/>
          <w:snapToGrid w:val="0"/>
          <w:color w:val="auto"/>
          <w:kern w:val="0"/>
          <w:szCs w:val="21"/>
          <w:highlight w:val="none"/>
        </w:rPr>
        <w:t>）竞争性比选公告；</w:t>
      </w:r>
    </w:p>
    <w:p w14:paraId="500BB350">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2</w:t>
      </w:r>
      <w:r>
        <w:rPr>
          <w:rFonts w:hint="eastAsia" w:ascii="宋体" w:hAnsi="宋体" w:cs="MingLiU"/>
          <w:snapToGrid w:val="0"/>
          <w:color w:val="auto"/>
          <w:kern w:val="0"/>
          <w:szCs w:val="21"/>
          <w:highlight w:val="none"/>
        </w:rPr>
        <w:t>）投标人须知；</w:t>
      </w:r>
    </w:p>
    <w:p w14:paraId="2FA1056A">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3</w:t>
      </w:r>
      <w:r>
        <w:rPr>
          <w:rFonts w:hint="eastAsia" w:ascii="宋体" w:hAnsi="宋体" w:cs="MingLiU"/>
          <w:snapToGrid w:val="0"/>
          <w:color w:val="auto"/>
          <w:kern w:val="0"/>
          <w:szCs w:val="21"/>
          <w:highlight w:val="none"/>
        </w:rPr>
        <w:t>）评标办法；</w:t>
      </w:r>
    </w:p>
    <w:p w14:paraId="0E6D042A">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4</w:t>
      </w:r>
      <w:r>
        <w:rPr>
          <w:rFonts w:hint="eastAsia" w:ascii="宋体" w:hAnsi="宋体" w:cs="MingLiU"/>
          <w:snapToGrid w:val="0"/>
          <w:color w:val="auto"/>
          <w:kern w:val="0"/>
          <w:szCs w:val="21"/>
          <w:highlight w:val="none"/>
        </w:rPr>
        <w:t>）合同条款及格式；</w:t>
      </w:r>
    </w:p>
    <w:p w14:paraId="263248A2">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cs="MingLiU"/>
          <w:snapToGrid w:val="0"/>
          <w:color w:val="auto"/>
          <w:kern w:val="0"/>
          <w:szCs w:val="21"/>
          <w:highlight w:val="none"/>
        </w:rPr>
        <w:t>）工程量清单；</w:t>
      </w:r>
    </w:p>
    <w:p w14:paraId="32A162F3">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snapToGrid w:val="0"/>
          <w:color w:val="auto"/>
          <w:kern w:val="0"/>
          <w:szCs w:val="21"/>
          <w:highlight w:val="none"/>
        </w:rPr>
        <w:t>8</w:t>
      </w:r>
      <w:r>
        <w:rPr>
          <w:rFonts w:hint="eastAsia" w:ascii="宋体" w:hAnsi="宋体" w:cs="MingLiU"/>
          <w:snapToGrid w:val="0"/>
          <w:color w:val="auto"/>
          <w:kern w:val="0"/>
          <w:szCs w:val="21"/>
          <w:highlight w:val="none"/>
        </w:rPr>
        <w:t>）技术标准和要求；</w:t>
      </w:r>
    </w:p>
    <w:p w14:paraId="43533DD5">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（9）投标文件格式；</w:t>
      </w:r>
    </w:p>
    <w:p w14:paraId="02BFFC2E">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（10）投标人须知前附表规定的其他材料。</w:t>
      </w:r>
    </w:p>
    <w:p w14:paraId="289C0D50">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根据本章第</w:t>
      </w:r>
      <w:r>
        <w:rPr>
          <w:rFonts w:ascii="宋体" w:hAnsi="宋体"/>
          <w:snapToGrid w:val="0"/>
          <w:color w:val="auto"/>
          <w:kern w:val="0"/>
          <w:szCs w:val="21"/>
          <w:highlight w:val="none"/>
        </w:rPr>
        <w:t>1.10</w:t>
      </w:r>
      <w:r>
        <w:rPr>
          <w:rFonts w:hint="eastAsia" w:ascii="宋体" w:hAnsi="宋体" w:cs="MingLiU"/>
          <w:snapToGrid w:val="0"/>
          <w:color w:val="auto"/>
          <w:kern w:val="0"/>
          <w:szCs w:val="21"/>
          <w:highlight w:val="none"/>
        </w:rPr>
        <w:t>款、第</w:t>
      </w:r>
      <w:r>
        <w:rPr>
          <w:rFonts w:ascii="宋体" w:hAnsi="宋体"/>
          <w:snapToGrid w:val="0"/>
          <w:color w:val="auto"/>
          <w:kern w:val="0"/>
          <w:szCs w:val="21"/>
          <w:highlight w:val="none"/>
        </w:rPr>
        <w:t>2.2</w:t>
      </w:r>
      <w:r>
        <w:rPr>
          <w:rFonts w:hint="eastAsia" w:ascii="宋体" w:hAnsi="宋体" w:cs="MingLiU"/>
          <w:snapToGrid w:val="0"/>
          <w:color w:val="auto"/>
          <w:kern w:val="0"/>
          <w:szCs w:val="21"/>
          <w:highlight w:val="none"/>
        </w:rPr>
        <w:t>款和第</w:t>
      </w:r>
      <w:r>
        <w:rPr>
          <w:rFonts w:ascii="宋体" w:hAnsi="宋体"/>
          <w:snapToGrid w:val="0"/>
          <w:color w:val="auto"/>
          <w:kern w:val="0"/>
          <w:szCs w:val="21"/>
          <w:highlight w:val="none"/>
        </w:rPr>
        <w:t>2.3</w:t>
      </w:r>
      <w:r>
        <w:rPr>
          <w:rFonts w:hint="eastAsia" w:ascii="宋体" w:hAnsi="宋体" w:cs="MingLiU"/>
          <w:snapToGrid w:val="0"/>
          <w:color w:val="auto"/>
          <w:kern w:val="0"/>
          <w:szCs w:val="21"/>
          <w:highlight w:val="none"/>
        </w:rPr>
        <w:t>款对竞争性比选文件所作的澄清、修改，构成</w:t>
      </w:r>
      <w:r>
        <w:rPr>
          <w:rFonts w:hint="eastAsia" w:ascii="宋体" w:hAnsi="宋体" w:cs="MingLiU"/>
          <w:snapToGrid w:val="0"/>
          <w:color w:val="auto"/>
          <w:kern w:val="0"/>
          <w:szCs w:val="21"/>
          <w:highlight w:val="none"/>
          <w:lang w:eastAsia="zh-CN"/>
        </w:rPr>
        <w:t>比选文件</w:t>
      </w:r>
      <w:r>
        <w:rPr>
          <w:rFonts w:hint="eastAsia" w:ascii="宋体" w:hAnsi="宋体" w:cs="MingLiU"/>
          <w:snapToGrid w:val="0"/>
          <w:color w:val="auto"/>
          <w:kern w:val="0"/>
          <w:szCs w:val="21"/>
          <w:highlight w:val="none"/>
        </w:rPr>
        <w:t>的组成部分。</w:t>
      </w:r>
    </w:p>
    <w:p w14:paraId="4DEF0D74">
      <w:pPr>
        <w:autoSpaceDE w:val="0"/>
        <w:autoSpaceDN w:val="0"/>
        <w:adjustRightInd w:val="0"/>
        <w:snapToGrid w:val="0"/>
        <w:spacing w:line="320" w:lineRule="exact"/>
        <w:jc w:val="left"/>
        <w:rPr>
          <w:rFonts w:ascii="宋体" w:hAnsi="宋体"/>
          <w:b/>
          <w:snapToGrid w:val="0"/>
          <w:color w:val="auto"/>
          <w:kern w:val="0"/>
          <w:highlight w:val="none"/>
        </w:rPr>
      </w:pPr>
      <w:bookmarkStart w:id="158" w:name="_Toc287620701"/>
      <w:bookmarkStart w:id="159" w:name="_Toc277082568"/>
      <w:bookmarkStart w:id="160" w:name="_Toc200513142"/>
      <w:bookmarkStart w:id="161" w:name="_Toc287607762"/>
      <w:bookmarkStart w:id="162" w:name="_Toc224103333"/>
      <w:bookmarkStart w:id="163" w:name="_Toc452058697"/>
      <w:bookmarkStart w:id="164" w:name="_Toc24022"/>
      <w:bookmarkStart w:id="165" w:name="_Toc386029662"/>
      <w:r>
        <w:rPr>
          <w:rFonts w:ascii="宋体" w:hAnsi="宋体"/>
          <w:b/>
          <w:snapToGrid w:val="0"/>
          <w:color w:val="auto"/>
          <w:kern w:val="0"/>
          <w:highlight w:val="none"/>
        </w:rPr>
        <w:t xml:space="preserve">2.2 </w:t>
      </w:r>
      <w:r>
        <w:rPr>
          <w:rFonts w:hint="eastAsia" w:ascii="宋体" w:hAnsi="宋体"/>
          <w:b/>
          <w:snapToGrid w:val="0"/>
          <w:color w:val="auto"/>
          <w:kern w:val="0"/>
          <w:highlight w:val="none"/>
        </w:rPr>
        <w:t xml:space="preserve"> 竞争性比选文件的澄清</w:t>
      </w:r>
      <w:bookmarkEnd w:id="158"/>
      <w:bookmarkEnd w:id="159"/>
      <w:bookmarkEnd w:id="160"/>
      <w:bookmarkEnd w:id="161"/>
      <w:bookmarkEnd w:id="162"/>
      <w:bookmarkEnd w:id="163"/>
      <w:bookmarkEnd w:id="164"/>
      <w:bookmarkEnd w:id="165"/>
    </w:p>
    <w:p w14:paraId="45400205">
      <w:pPr>
        <w:autoSpaceDE w:val="0"/>
        <w:autoSpaceDN w:val="0"/>
        <w:adjustRightInd w:val="0"/>
        <w:snapToGrid w:val="0"/>
        <w:spacing w:line="320" w:lineRule="exact"/>
        <w:ind w:firstLine="420"/>
        <w:rPr>
          <w:rFonts w:ascii="宋体" w:hAnsi="宋体"/>
          <w:snapToGrid w:val="0"/>
          <w:color w:val="auto"/>
          <w:kern w:val="0"/>
          <w:highlight w:val="none"/>
        </w:rPr>
      </w:pPr>
      <w:bookmarkStart w:id="166" w:name="_Toc287607763"/>
      <w:bookmarkStart w:id="167" w:name="_Toc200513143"/>
      <w:bookmarkStart w:id="168" w:name="_Toc277082569"/>
      <w:bookmarkStart w:id="169" w:name="_Toc224103334"/>
      <w:bookmarkStart w:id="170" w:name="_Toc287620702"/>
      <w:r>
        <w:rPr>
          <w:rFonts w:hint="eastAsia" w:ascii="宋体" w:hAnsi="宋体"/>
          <w:snapToGrid w:val="0"/>
          <w:color w:val="auto"/>
          <w:kern w:val="0"/>
          <w:highlight w:val="none"/>
        </w:rPr>
        <w:t>2.2.1 投标人应仔细阅读和检查比选文件的全部内容。如发现缺页或附件不全，应在投标人须知前附表规定的时间前，及时</w:t>
      </w:r>
      <w:r>
        <w:rPr>
          <w:rFonts w:hint="eastAsia" w:ascii="宋体" w:hAnsi="宋体"/>
          <w:color w:val="auto"/>
          <w:kern w:val="0"/>
          <w:highlight w:val="none"/>
        </w:rPr>
        <w:t>以</w:t>
      </w:r>
      <w:r>
        <w:rPr>
          <w:rFonts w:hint="eastAsia" w:ascii="宋体" w:hAnsi="宋体"/>
          <w:color w:val="auto"/>
          <w:kern w:val="0"/>
          <w:highlight w:val="none"/>
          <w:lang w:eastAsia="zh-CN"/>
        </w:rPr>
        <w:t>匿名</w:t>
      </w:r>
      <w:r>
        <w:rPr>
          <w:rFonts w:hint="eastAsia" w:ascii="宋体" w:hAnsi="宋体"/>
          <w:color w:val="auto"/>
          <w:kern w:val="0"/>
          <w:highlight w:val="none"/>
          <w:lang w:val="en-US" w:eastAsia="zh-CN"/>
        </w:rPr>
        <w:t>邮箱</w:t>
      </w:r>
      <w:r>
        <w:rPr>
          <w:rFonts w:hint="eastAsia" w:ascii="宋体" w:hAnsi="宋体"/>
          <w:color w:val="auto"/>
          <w:kern w:val="0"/>
          <w:highlight w:val="none"/>
        </w:rPr>
        <w:t>形式将问题提交给比选代理机构</w:t>
      </w:r>
      <w:r>
        <w:rPr>
          <w:rFonts w:hint="eastAsia" w:ascii="宋体" w:hAnsi="宋体"/>
          <w:b/>
          <w:color w:val="auto"/>
          <w:kern w:val="0"/>
          <w:highlight w:val="none"/>
        </w:rPr>
        <w:t>（</w:t>
      </w:r>
      <w:r>
        <w:rPr>
          <w:rFonts w:hint="eastAsia" w:asciiTheme="minorEastAsia" w:hAnsiTheme="minorEastAsia" w:cstheme="minorEastAsia"/>
          <w:b w:val="0"/>
          <w:bCs/>
          <w:color w:val="auto"/>
          <w:szCs w:val="21"/>
          <w:highlight w:val="none"/>
          <w:lang w:val="en-US" w:eastAsia="zh-CN"/>
        </w:rPr>
        <w:t>邮箱</w:t>
      </w:r>
      <w:r>
        <w:rPr>
          <w:rFonts w:hint="eastAsia" w:asciiTheme="minorEastAsia" w:hAnsiTheme="minorEastAsia" w:cstheme="minorEastAsia"/>
          <w:b w:val="0"/>
          <w:bCs/>
          <w:color w:val="auto"/>
          <w:szCs w:val="21"/>
          <w:highlight w:val="none"/>
          <w:lang w:eastAsia="zh-CN"/>
        </w:rPr>
        <w:t>号码：</w:t>
      </w:r>
      <w:r>
        <w:rPr>
          <w:rFonts w:hint="eastAsia" w:ascii="宋体" w:hAnsi="宋体"/>
          <w:color w:val="auto"/>
          <w:kern w:val="0"/>
          <w:szCs w:val="22"/>
          <w:highlight w:val="none"/>
          <w:lang w:val="en-US" w:eastAsia="zh-CN"/>
        </w:rPr>
        <w:t>457243193@qq.com</w:t>
      </w:r>
      <w:r>
        <w:rPr>
          <w:rFonts w:hint="eastAsia" w:ascii="宋体" w:hAnsi="宋体"/>
          <w:b/>
          <w:color w:val="auto"/>
          <w:kern w:val="0"/>
          <w:highlight w:val="none"/>
        </w:rPr>
        <w:t>）</w:t>
      </w:r>
      <w:r>
        <w:rPr>
          <w:rFonts w:hint="eastAsia" w:ascii="宋体" w:hAnsi="宋体"/>
          <w:snapToGrid w:val="0"/>
          <w:color w:val="auto"/>
          <w:kern w:val="0"/>
          <w:highlight w:val="none"/>
        </w:rPr>
        <w:t xml:space="preserve">，要求比选人对比选文件予以澄清。        </w:t>
      </w:r>
    </w:p>
    <w:p w14:paraId="37F150E6">
      <w:pPr>
        <w:autoSpaceDE w:val="0"/>
        <w:autoSpaceDN w:val="0"/>
        <w:adjustRightInd w:val="0"/>
        <w:snapToGrid w:val="0"/>
        <w:spacing w:line="300" w:lineRule="exact"/>
        <w:ind w:firstLine="420"/>
        <w:rPr>
          <w:rFonts w:ascii="宋体" w:hAnsi="宋体"/>
          <w:color w:val="auto"/>
          <w:highlight w:val="none"/>
        </w:rPr>
      </w:pPr>
      <w:r>
        <w:rPr>
          <w:rFonts w:ascii="宋体" w:hAnsi="宋体"/>
          <w:snapToGrid w:val="0"/>
          <w:color w:val="auto"/>
          <w:kern w:val="0"/>
          <w:szCs w:val="21"/>
          <w:highlight w:val="none"/>
        </w:rPr>
        <w:t>2.2.2</w:t>
      </w:r>
      <w:bookmarkStart w:id="171" w:name="_Toc386029663"/>
      <w:bookmarkStart w:id="172" w:name="_Toc16533"/>
      <w:bookmarkStart w:id="173" w:name="_Toc452058698"/>
      <w:r>
        <w:rPr>
          <w:rFonts w:hint="eastAsia" w:ascii="宋体" w:hAnsi="宋体"/>
          <w:color w:val="auto"/>
          <w:highlight w:val="none"/>
        </w:rPr>
        <w:t>竞争性比选文件的澄清将在投标人须知前附表规定的投标截止时间3天前，书面通知已</w:t>
      </w:r>
      <w:r>
        <w:rPr>
          <w:rFonts w:hint="eastAsia" w:ascii="宋体" w:hAnsi="宋体"/>
          <w:color w:val="auto"/>
          <w:highlight w:val="none"/>
          <w:lang w:eastAsia="zh-CN"/>
        </w:rPr>
        <w:t>领取</w:t>
      </w:r>
      <w:r>
        <w:rPr>
          <w:rFonts w:hint="eastAsia" w:ascii="宋体" w:hAnsi="宋体"/>
          <w:color w:val="auto"/>
          <w:highlight w:val="none"/>
        </w:rPr>
        <w:t>比选文件的投标人，但不指明澄清问题的来源。如果澄清发出的时间距投标截止时间不足3天且影响投标文件编制的，相应延长投标截止时间。</w:t>
      </w:r>
    </w:p>
    <w:p w14:paraId="1905A05F">
      <w:pPr>
        <w:autoSpaceDE w:val="0"/>
        <w:autoSpaceDN w:val="0"/>
        <w:adjustRightInd w:val="0"/>
        <w:snapToGrid w:val="0"/>
        <w:spacing w:line="320" w:lineRule="exact"/>
        <w:rPr>
          <w:rFonts w:ascii="宋体" w:hAnsi="宋体"/>
          <w:b/>
          <w:snapToGrid w:val="0"/>
          <w:color w:val="auto"/>
          <w:kern w:val="0"/>
          <w:highlight w:val="none"/>
        </w:rPr>
      </w:pPr>
      <w:r>
        <w:rPr>
          <w:rFonts w:ascii="宋体" w:hAnsi="宋体"/>
          <w:b/>
          <w:snapToGrid w:val="0"/>
          <w:color w:val="auto"/>
          <w:kern w:val="0"/>
          <w:highlight w:val="none"/>
        </w:rPr>
        <w:t xml:space="preserve">2.3 </w:t>
      </w:r>
      <w:r>
        <w:rPr>
          <w:rFonts w:hint="eastAsia" w:ascii="宋体" w:hAnsi="宋体"/>
          <w:b/>
          <w:snapToGrid w:val="0"/>
          <w:color w:val="auto"/>
          <w:kern w:val="0"/>
          <w:highlight w:val="none"/>
        </w:rPr>
        <w:t>比选文件</w:t>
      </w:r>
      <w:r>
        <w:rPr>
          <w:rFonts w:hint="eastAsia" w:ascii="宋体" w:hAnsi="宋体"/>
          <w:b/>
          <w:snapToGrid w:val="0"/>
          <w:color w:val="auto"/>
          <w:kern w:val="0"/>
          <w:highlight w:val="none"/>
          <w:lang w:eastAsia="zh-CN"/>
        </w:rPr>
        <w:t>比选文件</w:t>
      </w:r>
      <w:r>
        <w:rPr>
          <w:rFonts w:hint="eastAsia" w:ascii="宋体" w:hAnsi="宋体"/>
          <w:b/>
          <w:snapToGrid w:val="0"/>
          <w:color w:val="auto"/>
          <w:kern w:val="0"/>
          <w:highlight w:val="none"/>
        </w:rPr>
        <w:t>的修改</w:t>
      </w:r>
      <w:bookmarkEnd w:id="166"/>
      <w:bookmarkEnd w:id="167"/>
      <w:bookmarkEnd w:id="168"/>
      <w:bookmarkEnd w:id="169"/>
      <w:bookmarkEnd w:id="170"/>
      <w:bookmarkEnd w:id="171"/>
      <w:bookmarkEnd w:id="172"/>
      <w:bookmarkEnd w:id="173"/>
    </w:p>
    <w:p w14:paraId="0AB24F41">
      <w:pPr>
        <w:spacing w:line="300" w:lineRule="exact"/>
        <w:ind w:firstLine="420" w:firstLineChars="200"/>
        <w:jc w:val="left"/>
        <w:rPr>
          <w:rFonts w:ascii="宋体" w:hAnsi="宋体"/>
          <w:color w:val="auto"/>
          <w:highlight w:val="none"/>
        </w:rPr>
      </w:pPr>
      <w:bookmarkStart w:id="174" w:name="_Toc287607764"/>
      <w:bookmarkStart w:id="175" w:name="_Toc200513144"/>
      <w:bookmarkStart w:id="176" w:name="_Toc224103335"/>
      <w:bookmarkStart w:id="177" w:name="_Toc277082570"/>
      <w:r>
        <w:rPr>
          <w:rFonts w:ascii="宋体" w:hAnsi="宋体"/>
          <w:color w:val="auto"/>
          <w:highlight w:val="none"/>
        </w:rPr>
        <w:t>2.3.1</w:t>
      </w:r>
      <w:bookmarkStart w:id="178" w:name="_Toc386029664"/>
      <w:bookmarkStart w:id="179" w:name="_Toc32055"/>
      <w:bookmarkStart w:id="180" w:name="_Toc452058699"/>
      <w:bookmarkStart w:id="181" w:name="_Toc16595"/>
      <w:r>
        <w:rPr>
          <w:rFonts w:hint="eastAsia" w:ascii="宋体" w:hAnsi="宋体"/>
          <w:color w:val="auto"/>
          <w:highlight w:val="none"/>
        </w:rPr>
        <w:t>竞争性比选文件的修改以书面通知已</w:t>
      </w:r>
      <w:r>
        <w:rPr>
          <w:rFonts w:hint="eastAsia" w:ascii="宋体" w:hAnsi="宋体"/>
          <w:color w:val="auto"/>
          <w:highlight w:val="none"/>
          <w:lang w:eastAsia="zh-CN"/>
        </w:rPr>
        <w:t>领取</w:t>
      </w:r>
      <w:r>
        <w:rPr>
          <w:rFonts w:hint="eastAsia" w:ascii="宋体" w:hAnsi="宋体"/>
          <w:color w:val="auto"/>
          <w:highlight w:val="none"/>
        </w:rPr>
        <w:t>比选文件的投标人。如果修改竞争性比选文件的时间距投标截止时间不足3天且影响投标文件编制的，相应延长投标截止时间。比选人不再另行通知，不论投标人是否查阅，比选人和比选代理机构都视为投标人已知晓比选人对竞争性比选文件作出的修改。</w:t>
      </w:r>
    </w:p>
    <w:p w14:paraId="6601BD0A">
      <w:pPr>
        <w:spacing w:line="320" w:lineRule="exact"/>
        <w:jc w:val="left"/>
        <w:rPr>
          <w:rFonts w:ascii="宋体" w:hAnsi="宋体"/>
          <w:b/>
          <w:snapToGrid w:val="0"/>
          <w:color w:val="auto"/>
          <w:kern w:val="0"/>
          <w:highlight w:val="none"/>
        </w:rPr>
      </w:pPr>
      <w:r>
        <w:rPr>
          <w:rFonts w:ascii="宋体" w:hAnsi="宋体"/>
          <w:b/>
          <w:snapToGrid w:val="0"/>
          <w:color w:val="auto"/>
          <w:kern w:val="0"/>
          <w:highlight w:val="none"/>
        </w:rPr>
        <w:t xml:space="preserve">3.  </w:t>
      </w:r>
      <w:r>
        <w:rPr>
          <w:rFonts w:hint="eastAsia" w:ascii="宋体" w:hAnsi="宋体"/>
          <w:b/>
          <w:snapToGrid w:val="0"/>
          <w:color w:val="auto"/>
          <w:kern w:val="0"/>
          <w:highlight w:val="none"/>
        </w:rPr>
        <w:t>投标文件</w:t>
      </w:r>
      <w:bookmarkEnd w:id="174"/>
      <w:bookmarkEnd w:id="175"/>
      <w:bookmarkEnd w:id="176"/>
      <w:bookmarkEnd w:id="177"/>
      <w:bookmarkEnd w:id="178"/>
      <w:bookmarkEnd w:id="179"/>
      <w:bookmarkEnd w:id="180"/>
      <w:bookmarkEnd w:id="181"/>
    </w:p>
    <w:p w14:paraId="1E6CAC9D">
      <w:pPr>
        <w:autoSpaceDE w:val="0"/>
        <w:autoSpaceDN w:val="0"/>
        <w:adjustRightInd w:val="0"/>
        <w:snapToGrid w:val="0"/>
        <w:spacing w:line="320" w:lineRule="exact"/>
        <w:jc w:val="left"/>
        <w:rPr>
          <w:rFonts w:ascii="宋体" w:hAnsi="宋体"/>
          <w:b/>
          <w:snapToGrid w:val="0"/>
          <w:color w:val="auto"/>
          <w:kern w:val="0"/>
          <w:highlight w:val="none"/>
        </w:rPr>
      </w:pPr>
      <w:bookmarkStart w:id="182" w:name="_Toc200513145"/>
      <w:bookmarkStart w:id="183" w:name="_Toc10647"/>
      <w:bookmarkStart w:id="184" w:name="_Toc224103336"/>
      <w:bookmarkStart w:id="185" w:name="_Toc452058700"/>
      <w:bookmarkStart w:id="186" w:name="_Toc287620704"/>
      <w:bookmarkStart w:id="187" w:name="_Toc386029665"/>
      <w:bookmarkStart w:id="188" w:name="_Toc287607765"/>
      <w:bookmarkStart w:id="189" w:name="_Toc277082571"/>
      <w:r>
        <w:rPr>
          <w:rFonts w:ascii="宋体" w:hAnsi="宋体"/>
          <w:b/>
          <w:snapToGrid w:val="0"/>
          <w:color w:val="auto"/>
          <w:kern w:val="0"/>
          <w:highlight w:val="none"/>
        </w:rPr>
        <w:t xml:space="preserve">3.1  </w:t>
      </w:r>
      <w:r>
        <w:rPr>
          <w:rFonts w:hint="eastAsia" w:ascii="宋体" w:hAnsi="宋体"/>
          <w:b/>
          <w:snapToGrid w:val="0"/>
          <w:color w:val="auto"/>
          <w:kern w:val="0"/>
          <w:highlight w:val="none"/>
        </w:rPr>
        <w:t>投标文件的组成</w:t>
      </w:r>
      <w:bookmarkEnd w:id="182"/>
      <w:bookmarkEnd w:id="183"/>
      <w:bookmarkEnd w:id="184"/>
      <w:bookmarkEnd w:id="185"/>
      <w:bookmarkEnd w:id="186"/>
      <w:bookmarkEnd w:id="187"/>
      <w:bookmarkEnd w:id="188"/>
      <w:bookmarkEnd w:id="189"/>
    </w:p>
    <w:p w14:paraId="1035335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3.1.1 投标文件应包括下列内容：</w:t>
      </w:r>
    </w:p>
    <w:p w14:paraId="29D6FE36">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（1）投标函及投标函附录；</w:t>
      </w:r>
    </w:p>
    <w:p w14:paraId="078E116E">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（2）法定代表人身份证明或附有法定代表人身份证明的授权委托书；</w:t>
      </w:r>
    </w:p>
    <w:p w14:paraId="784AF5B9">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）投标</w:t>
      </w:r>
      <w:r>
        <w:rPr>
          <w:rFonts w:hint="eastAsia" w:ascii="宋体" w:hAnsi="宋体"/>
          <w:snapToGrid w:val="0"/>
          <w:kern w:val="0"/>
          <w:szCs w:val="21"/>
          <w:highlight w:val="none"/>
        </w:rPr>
        <w:t>保证金</w:t>
      </w:r>
      <w:r>
        <w:rPr>
          <w:rFonts w:ascii="宋体" w:hAnsi="宋体"/>
          <w:snapToGrid w:val="0"/>
          <w:kern w:val="0"/>
          <w:szCs w:val="21"/>
          <w:highlight w:val="none"/>
        </w:rPr>
        <w:t>；</w:t>
      </w:r>
    </w:p>
    <w:p w14:paraId="4D8B8ED9">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4</w:t>
      </w:r>
      <w:r>
        <w:rPr>
          <w:rFonts w:ascii="宋体" w:hAnsi="宋体"/>
          <w:snapToGrid w:val="0"/>
          <w:kern w:val="0"/>
          <w:szCs w:val="21"/>
          <w:highlight w:val="none"/>
        </w:rPr>
        <w:t>）已标价工程量清单；</w:t>
      </w:r>
    </w:p>
    <w:p w14:paraId="10E6E3D3">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5</w:t>
      </w:r>
      <w:r>
        <w:rPr>
          <w:rFonts w:ascii="宋体" w:hAnsi="宋体"/>
          <w:snapToGrid w:val="0"/>
          <w:kern w:val="0"/>
          <w:szCs w:val="21"/>
          <w:highlight w:val="none"/>
        </w:rPr>
        <w:t>）项目管理机构；</w:t>
      </w:r>
    </w:p>
    <w:p w14:paraId="1AE27C64">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6</w:t>
      </w:r>
      <w:r>
        <w:rPr>
          <w:rFonts w:ascii="宋体" w:hAnsi="宋体"/>
          <w:snapToGrid w:val="0"/>
          <w:kern w:val="0"/>
          <w:szCs w:val="21"/>
          <w:highlight w:val="none"/>
        </w:rPr>
        <w:t>）资格审查资料；</w:t>
      </w:r>
    </w:p>
    <w:p w14:paraId="72A65463">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7</w:t>
      </w:r>
      <w:r>
        <w:rPr>
          <w:rFonts w:ascii="宋体" w:hAnsi="宋体"/>
          <w:snapToGrid w:val="0"/>
          <w:kern w:val="0"/>
          <w:szCs w:val="21"/>
          <w:highlight w:val="none"/>
        </w:rPr>
        <w:t>）投标人须知前附表规定的其他材料。</w:t>
      </w:r>
    </w:p>
    <w:p w14:paraId="3359EB4E">
      <w:pPr>
        <w:autoSpaceDE w:val="0"/>
        <w:autoSpaceDN w:val="0"/>
        <w:adjustRightInd w:val="0"/>
        <w:snapToGrid w:val="0"/>
        <w:spacing w:line="320" w:lineRule="exact"/>
        <w:jc w:val="left"/>
        <w:rPr>
          <w:rFonts w:ascii="宋体" w:hAnsi="宋体"/>
          <w:b/>
          <w:snapToGrid w:val="0"/>
          <w:color w:val="auto"/>
          <w:kern w:val="0"/>
          <w:highlight w:val="none"/>
        </w:rPr>
      </w:pPr>
      <w:bookmarkStart w:id="190" w:name="_Toc452058701"/>
      <w:bookmarkStart w:id="191" w:name="_Toc224103337"/>
      <w:bookmarkStart w:id="192" w:name="_Toc200513146"/>
      <w:bookmarkStart w:id="193" w:name="_Toc287620705"/>
      <w:bookmarkStart w:id="194" w:name="_Toc277082572"/>
      <w:bookmarkStart w:id="195" w:name="_Toc287607766"/>
      <w:bookmarkStart w:id="196" w:name="_Toc386029666"/>
      <w:bookmarkStart w:id="197" w:name="_Toc18950"/>
      <w:r>
        <w:rPr>
          <w:rFonts w:ascii="宋体" w:hAnsi="宋体"/>
          <w:b/>
          <w:snapToGrid w:val="0"/>
          <w:color w:val="auto"/>
          <w:kern w:val="0"/>
          <w:highlight w:val="none"/>
        </w:rPr>
        <w:t xml:space="preserve">3.2  </w:t>
      </w:r>
      <w:r>
        <w:rPr>
          <w:rFonts w:hint="eastAsia" w:ascii="宋体" w:hAnsi="宋体"/>
          <w:b/>
          <w:snapToGrid w:val="0"/>
          <w:color w:val="auto"/>
          <w:kern w:val="0"/>
          <w:highlight w:val="none"/>
        </w:rPr>
        <w:t>投标报价</w:t>
      </w:r>
      <w:bookmarkEnd w:id="190"/>
      <w:bookmarkEnd w:id="191"/>
      <w:bookmarkEnd w:id="192"/>
      <w:bookmarkEnd w:id="193"/>
      <w:bookmarkEnd w:id="194"/>
      <w:bookmarkEnd w:id="195"/>
      <w:bookmarkEnd w:id="196"/>
      <w:bookmarkEnd w:id="197"/>
    </w:p>
    <w:p w14:paraId="5C14BF49">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cs="MingLiU"/>
          <w:snapToGrid w:val="0"/>
          <w:color w:val="auto"/>
          <w:kern w:val="0"/>
          <w:szCs w:val="21"/>
          <w:highlight w:val="none"/>
        </w:rPr>
        <w:t>投标人应按第二章投标人须知和第五章“工程量清单”的要求填写相应表格。</w:t>
      </w:r>
    </w:p>
    <w:p w14:paraId="7668E40C">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3.2.2  投标人在投标截止时间前修改投标函中的投标总报价，应同时修改第五章“工程量清单”中的相应报价。此修改须符合本章第</w:t>
      </w:r>
      <w:r>
        <w:rPr>
          <w:rFonts w:ascii="宋体" w:hAnsi="宋体"/>
          <w:snapToGrid w:val="0"/>
          <w:color w:val="auto"/>
          <w:kern w:val="0"/>
          <w:szCs w:val="21"/>
          <w:highlight w:val="none"/>
        </w:rPr>
        <w:t xml:space="preserve"> 4.3 </w:t>
      </w:r>
      <w:r>
        <w:rPr>
          <w:rFonts w:hint="eastAsia" w:ascii="宋体" w:hAnsi="宋体" w:cs="MingLiU"/>
          <w:snapToGrid w:val="0"/>
          <w:color w:val="auto"/>
          <w:kern w:val="0"/>
          <w:szCs w:val="21"/>
          <w:highlight w:val="none"/>
        </w:rPr>
        <w:t>款的有关要求。</w:t>
      </w:r>
    </w:p>
    <w:p w14:paraId="0B173AED">
      <w:pPr>
        <w:autoSpaceDE w:val="0"/>
        <w:autoSpaceDN w:val="0"/>
        <w:adjustRightInd w:val="0"/>
        <w:snapToGrid w:val="0"/>
        <w:spacing w:line="320" w:lineRule="exact"/>
        <w:jc w:val="left"/>
        <w:rPr>
          <w:rFonts w:ascii="宋体" w:hAnsi="宋体"/>
          <w:b/>
          <w:snapToGrid w:val="0"/>
          <w:color w:val="auto"/>
          <w:kern w:val="0"/>
          <w:highlight w:val="none"/>
        </w:rPr>
      </w:pPr>
      <w:bookmarkStart w:id="198" w:name="_Toc200513147"/>
      <w:bookmarkStart w:id="199" w:name="_Toc21238"/>
      <w:bookmarkStart w:id="200" w:name="_Toc287607767"/>
      <w:bookmarkStart w:id="201" w:name="_Toc277082573"/>
      <w:bookmarkStart w:id="202" w:name="_Toc452058702"/>
      <w:bookmarkStart w:id="203" w:name="_Toc224103338"/>
      <w:bookmarkStart w:id="204" w:name="_Toc386029667"/>
      <w:bookmarkStart w:id="205" w:name="_Toc287620706"/>
      <w:r>
        <w:rPr>
          <w:rFonts w:ascii="宋体" w:hAnsi="宋体"/>
          <w:b/>
          <w:snapToGrid w:val="0"/>
          <w:color w:val="auto"/>
          <w:kern w:val="0"/>
          <w:highlight w:val="none"/>
        </w:rPr>
        <w:t xml:space="preserve">3.3  </w:t>
      </w:r>
      <w:r>
        <w:rPr>
          <w:rFonts w:hint="eastAsia" w:ascii="宋体" w:hAnsi="宋体"/>
          <w:b/>
          <w:snapToGrid w:val="0"/>
          <w:color w:val="auto"/>
          <w:kern w:val="0"/>
          <w:highlight w:val="none"/>
        </w:rPr>
        <w:t>投标有效期</w:t>
      </w:r>
      <w:bookmarkEnd w:id="198"/>
      <w:bookmarkEnd w:id="199"/>
      <w:bookmarkEnd w:id="200"/>
      <w:bookmarkEnd w:id="201"/>
      <w:bookmarkEnd w:id="202"/>
      <w:bookmarkEnd w:id="203"/>
      <w:bookmarkEnd w:id="204"/>
      <w:bookmarkEnd w:id="205"/>
    </w:p>
    <w:p w14:paraId="596F4E12">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3.3.1  </w:t>
      </w:r>
      <w:r>
        <w:rPr>
          <w:rFonts w:hint="eastAsia" w:ascii="宋体" w:hAnsi="宋体" w:cs="MingLiU"/>
          <w:snapToGrid w:val="0"/>
          <w:color w:val="auto"/>
          <w:kern w:val="0"/>
          <w:szCs w:val="21"/>
          <w:highlight w:val="none"/>
        </w:rPr>
        <w:t>在投标人须知前附表规定的投标有效期内，投标人不得要求撤销或修改其投标文件。</w:t>
      </w:r>
    </w:p>
    <w:p w14:paraId="527A6B6E">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206" w:name="_Toc287620707"/>
      <w:bookmarkStart w:id="207" w:name="_Toc18976"/>
      <w:bookmarkStart w:id="208" w:name="_Toc287607768"/>
      <w:bookmarkStart w:id="209" w:name="_Toc386029668"/>
      <w:bookmarkStart w:id="210" w:name="_Toc224103339"/>
      <w:bookmarkStart w:id="211" w:name="_Toc200513148"/>
      <w:bookmarkStart w:id="212" w:name="_Toc277082574"/>
      <w:r>
        <w:rPr>
          <w:rFonts w:ascii="宋体" w:hAnsi="宋体"/>
          <w:snapToGrid w:val="0"/>
          <w:color w:val="auto"/>
          <w:kern w:val="0"/>
          <w:szCs w:val="21"/>
          <w:highlight w:val="none"/>
        </w:rPr>
        <w:t xml:space="preserve">3.3.2 </w:t>
      </w:r>
      <w:r>
        <w:rPr>
          <w:rFonts w:hint="eastAsia" w:ascii="宋体" w:hAnsi="宋体"/>
          <w:snapToGrid w:val="0"/>
          <w:color w:val="auto"/>
          <w:kern w:val="0"/>
          <w:highlight w:val="none"/>
        </w:rPr>
        <w:t>在开标前</w:t>
      </w:r>
      <w:r>
        <w:rPr>
          <w:rFonts w:hint="eastAsia" w:ascii="宋体" w:hAnsi="宋体" w:cs="MingLiU"/>
          <w:snapToGrid w:val="0"/>
          <w:color w:val="auto"/>
          <w:kern w:val="0"/>
          <w:szCs w:val="21"/>
          <w:highlight w:val="none"/>
        </w:rPr>
        <w:t>出现特殊情况需要延长投标有效期的，</w:t>
      </w:r>
      <w:r>
        <w:rPr>
          <w:rFonts w:hint="eastAsia" w:ascii="宋体" w:hAnsi="宋体"/>
          <w:color w:val="auto"/>
          <w:highlight w:val="none"/>
        </w:rPr>
        <w:t>比选</w:t>
      </w:r>
      <w:r>
        <w:rPr>
          <w:rFonts w:hint="eastAsia" w:ascii="宋体" w:hAnsi="宋体"/>
          <w:snapToGrid w:val="0"/>
          <w:color w:val="auto"/>
          <w:kern w:val="0"/>
          <w:highlight w:val="none"/>
        </w:rPr>
        <w:t>人</w:t>
      </w:r>
      <w:r>
        <w:rPr>
          <w:rFonts w:hint="eastAsia" w:ascii="宋体" w:hAnsi="宋体"/>
          <w:color w:val="auto"/>
          <w:highlight w:val="none"/>
        </w:rPr>
        <w:t>书面通知已</w:t>
      </w:r>
      <w:r>
        <w:rPr>
          <w:rFonts w:hint="eastAsia" w:ascii="宋体" w:hAnsi="宋体"/>
          <w:color w:val="auto"/>
          <w:highlight w:val="none"/>
          <w:lang w:eastAsia="zh-CN"/>
        </w:rPr>
        <w:t>领取</w:t>
      </w:r>
      <w:r>
        <w:rPr>
          <w:rFonts w:hint="eastAsia" w:ascii="宋体" w:hAnsi="宋体"/>
          <w:color w:val="auto"/>
          <w:highlight w:val="none"/>
        </w:rPr>
        <w:t>比选文件的投标人</w:t>
      </w:r>
      <w:r>
        <w:rPr>
          <w:rFonts w:hint="eastAsia" w:ascii="宋体" w:hAnsi="宋体"/>
          <w:snapToGrid w:val="0"/>
          <w:color w:val="auto"/>
          <w:kern w:val="0"/>
          <w:highlight w:val="none"/>
        </w:rPr>
        <w:t>延长投标有效期。</w:t>
      </w:r>
      <w:r>
        <w:rPr>
          <w:rFonts w:hint="eastAsia" w:ascii="宋体" w:hAnsi="宋体" w:cs="MingLiU"/>
          <w:snapToGrid w:val="0"/>
          <w:color w:val="auto"/>
          <w:kern w:val="0"/>
          <w:szCs w:val="21"/>
          <w:highlight w:val="none"/>
        </w:rPr>
        <w:t>投标人同意延长的，应相应延长其投标保证金的有效期，但不得要求或被允许修改或撤销其投标文件；投标人拒绝延长的，其投标失效，但投标人有权收回其投标保证金。</w:t>
      </w:r>
    </w:p>
    <w:p w14:paraId="72EF3CBD">
      <w:pPr>
        <w:autoSpaceDE w:val="0"/>
        <w:autoSpaceDN w:val="0"/>
        <w:adjustRightInd w:val="0"/>
        <w:snapToGrid w:val="0"/>
        <w:spacing w:line="320" w:lineRule="exact"/>
        <w:jc w:val="left"/>
        <w:rPr>
          <w:rFonts w:ascii="宋体" w:hAnsi="宋体"/>
          <w:b/>
          <w:snapToGrid w:val="0"/>
          <w:color w:val="auto"/>
          <w:kern w:val="0"/>
          <w:highlight w:val="none"/>
        </w:rPr>
      </w:pPr>
      <w:bookmarkStart w:id="213" w:name="_Toc452058703"/>
      <w:r>
        <w:rPr>
          <w:rFonts w:ascii="宋体" w:hAnsi="宋体"/>
          <w:b/>
          <w:snapToGrid w:val="0"/>
          <w:color w:val="auto"/>
          <w:kern w:val="0"/>
          <w:highlight w:val="none"/>
        </w:rPr>
        <w:t xml:space="preserve">3.4  </w:t>
      </w:r>
      <w:r>
        <w:rPr>
          <w:rFonts w:hint="eastAsia" w:ascii="宋体" w:hAnsi="宋体"/>
          <w:b/>
          <w:snapToGrid w:val="0"/>
          <w:color w:val="auto"/>
          <w:kern w:val="0"/>
          <w:highlight w:val="none"/>
        </w:rPr>
        <w:t>投标保证金</w:t>
      </w:r>
      <w:bookmarkEnd w:id="206"/>
      <w:bookmarkEnd w:id="207"/>
      <w:bookmarkEnd w:id="208"/>
      <w:bookmarkEnd w:id="209"/>
      <w:bookmarkEnd w:id="210"/>
      <w:bookmarkEnd w:id="211"/>
      <w:bookmarkEnd w:id="212"/>
      <w:bookmarkEnd w:id="213"/>
    </w:p>
    <w:p w14:paraId="4F87B46C">
      <w:pPr>
        <w:autoSpaceDE w:val="0"/>
        <w:autoSpaceDN w:val="0"/>
        <w:adjustRightInd w:val="0"/>
        <w:snapToGrid w:val="0"/>
        <w:spacing w:line="320" w:lineRule="exact"/>
        <w:ind w:firstLine="420" w:firstLineChars="200"/>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3.4.1  </w:t>
      </w:r>
      <w:r>
        <w:rPr>
          <w:rFonts w:hint="eastAsia" w:ascii="宋体" w:hAnsi="宋体" w:cs="MingLiU"/>
          <w:snapToGrid w:val="0"/>
          <w:color w:val="auto"/>
          <w:kern w:val="0"/>
          <w:szCs w:val="21"/>
          <w:highlight w:val="none"/>
        </w:rPr>
        <w:t>投标人在递交投标文件的同时，应按投标人须知前附表规定的金额、形式递交投标保证金。</w:t>
      </w:r>
    </w:p>
    <w:p w14:paraId="7487DD99">
      <w:pPr>
        <w:autoSpaceDE w:val="0"/>
        <w:autoSpaceDN w:val="0"/>
        <w:adjustRightInd w:val="0"/>
        <w:snapToGrid w:val="0"/>
        <w:spacing w:line="320" w:lineRule="exact"/>
        <w:ind w:firstLine="420" w:firstLineChars="200"/>
        <w:rPr>
          <w:rFonts w:ascii="宋体" w:hAnsi="宋体" w:cs="MingLiU"/>
          <w:b/>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cs="MingLiU"/>
          <w:snapToGrid w:val="0"/>
          <w:color w:val="auto"/>
          <w:kern w:val="0"/>
          <w:szCs w:val="21"/>
          <w:highlight w:val="none"/>
        </w:rPr>
        <w:t>投标人不按本章第</w:t>
      </w:r>
      <w:r>
        <w:rPr>
          <w:rFonts w:ascii="宋体" w:hAnsi="宋体"/>
          <w:snapToGrid w:val="0"/>
          <w:color w:val="auto"/>
          <w:kern w:val="0"/>
          <w:szCs w:val="21"/>
          <w:highlight w:val="none"/>
        </w:rPr>
        <w:t xml:space="preserve"> 3.4.1 </w:t>
      </w:r>
      <w:r>
        <w:rPr>
          <w:rFonts w:hint="eastAsia" w:ascii="宋体" w:hAnsi="宋体" w:cs="MingLiU"/>
          <w:snapToGrid w:val="0"/>
          <w:color w:val="auto"/>
          <w:kern w:val="0"/>
          <w:szCs w:val="21"/>
          <w:highlight w:val="none"/>
        </w:rPr>
        <w:t>项要求提交投标保证金的，</w:t>
      </w:r>
      <w:r>
        <w:rPr>
          <w:rFonts w:hint="eastAsia" w:ascii="黑体" w:hAnsi="宋体" w:eastAsia="黑体" w:cs="MingLiU"/>
          <w:b/>
          <w:snapToGrid w:val="0"/>
          <w:color w:val="auto"/>
          <w:kern w:val="0"/>
          <w:szCs w:val="21"/>
          <w:highlight w:val="none"/>
        </w:rPr>
        <w:t>其投标文件作否决投标处理。</w:t>
      </w:r>
    </w:p>
    <w:p w14:paraId="354A8FFC">
      <w:pPr>
        <w:autoSpaceDE w:val="0"/>
        <w:autoSpaceDN w:val="0"/>
        <w:adjustRightInd w:val="0"/>
        <w:snapToGrid w:val="0"/>
        <w:spacing w:line="320" w:lineRule="exact"/>
        <w:ind w:left="13" w:leftChars="6" w:firstLine="405" w:firstLineChars="193"/>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eastAsia="宋体" w:cs="MingLiU"/>
          <w:snapToGrid w:val="0"/>
          <w:color w:val="auto"/>
          <w:kern w:val="0"/>
          <w:szCs w:val="21"/>
          <w:highlight w:val="none"/>
        </w:rPr>
        <w:t>投标保证金退还</w:t>
      </w:r>
      <w:r>
        <w:rPr>
          <w:rFonts w:hint="eastAsia" w:ascii="宋体" w:hAnsi="宋体" w:cs="MingLiU"/>
          <w:snapToGrid w:val="0"/>
          <w:color w:val="auto"/>
          <w:kern w:val="0"/>
          <w:szCs w:val="21"/>
          <w:highlight w:val="none"/>
        </w:rPr>
        <w:t>：见投标人须知前附表</w:t>
      </w:r>
      <w:r>
        <w:rPr>
          <w:rFonts w:hint="eastAsia" w:ascii="宋体" w:hAnsi="宋体" w:cs="MingLiU"/>
          <w:snapToGrid w:val="0"/>
          <w:color w:val="auto"/>
          <w:kern w:val="0"/>
          <w:position w:val="-2"/>
          <w:szCs w:val="21"/>
          <w:highlight w:val="none"/>
        </w:rPr>
        <w:t>。</w:t>
      </w:r>
    </w:p>
    <w:p w14:paraId="58BE8638">
      <w:pPr>
        <w:autoSpaceDE w:val="0"/>
        <w:autoSpaceDN w:val="0"/>
        <w:adjustRightInd w:val="0"/>
        <w:snapToGrid w:val="0"/>
        <w:spacing w:line="320" w:lineRule="exact"/>
        <w:ind w:left="13" w:leftChars="6" w:firstLine="405" w:firstLineChars="193"/>
        <w:jc w:val="left"/>
        <w:rPr>
          <w:rFonts w:ascii="宋体" w:hAnsi="宋体" w:cs="MingLiU"/>
          <w:b/>
          <w:bCs/>
          <w:snapToGrid w:val="0"/>
          <w:color w:val="auto"/>
          <w:kern w:val="0"/>
          <w:position w:val="-2"/>
          <w:szCs w:val="21"/>
          <w:highlight w:val="none"/>
        </w:rPr>
      </w:pPr>
      <w:r>
        <w:rPr>
          <w:rFonts w:ascii="宋体" w:hAnsi="宋体"/>
          <w:snapToGrid w:val="0"/>
          <w:color w:val="auto"/>
          <w:kern w:val="0"/>
          <w:szCs w:val="21"/>
          <w:highlight w:val="none"/>
        </w:rPr>
        <w:t xml:space="preserve">3.4.4  </w:t>
      </w:r>
      <w:r>
        <w:rPr>
          <w:rFonts w:hint="eastAsia" w:ascii="宋体" w:hAnsi="宋体" w:cs="MingLiU"/>
          <w:snapToGrid w:val="0"/>
          <w:color w:val="auto"/>
          <w:kern w:val="0"/>
          <w:szCs w:val="21"/>
          <w:highlight w:val="none"/>
        </w:rPr>
        <w:t>有下列情形之</w:t>
      </w:r>
      <w:r>
        <w:rPr>
          <w:rFonts w:hint="eastAsia" w:ascii="宋体" w:hAnsi="宋体" w:cs="MingLiU"/>
          <w:snapToGrid w:val="0"/>
          <w:color w:val="auto"/>
          <w:kern w:val="0"/>
          <w:position w:val="-2"/>
          <w:szCs w:val="21"/>
          <w:highlight w:val="none"/>
        </w:rPr>
        <w:t>一的，</w:t>
      </w:r>
      <w:r>
        <w:rPr>
          <w:rFonts w:hint="eastAsia" w:ascii="宋体" w:hAnsi="宋体" w:cs="MingLiU"/>
          <w:b/>
          <w:bCs/>
          <w:snapToGrid w:val="0"/>
          <w:color w:val="auto"/>
          <w:kern w:val="0"/>
          <w:position w:val="-2"/>
          <w:szCs w:val="21"/>
          <w:highlight w:val="none"/>
        </w:rPr>
        <w:t>取消其中标资格，投标保证金将不予退还：</w:t>
      </w:r>
    </w:p>
    <w:p w14:paraId="437629D8">
      <w:pPr>
        <w:autoSpaceDE w:val="0"/>
        <w:autoSpaceDN w:val="0"/>
        <w:adjustRightInd w:val="0"/>
        <w:snapToGrid w:val="0"/>
        <w:spacing w:line="320" w:lineRule="exact"/>
        <w:ind w:left="13" w:leftChars="6" w:firstLine="405" w:firstLineChars="193"/>
        <w:jc w:val="left"/>
        <w:rPr>
          <w:rFonts w:ascii="宋体" w:hAnsi="宋体" w:cs="MingLiU"/>
          <w:snapToGrid w:val="0"/>
          <w:color w:val="auto"/>
          <w:kern w:val="0"/>
          <w:position w:val="-2"/>
          <w:szCs w:val="21"/>
          <w:highlight w:val="none"/>
        </w:rPr>
      </w:pPr>
      <w:r>
        <w:rPr>
          <w:rFonts w:hint="eastAsia" w:ascii="宋体" w:hAnsi="宋体" w:cs="MingLiU"/>
          <w:snapToGrid w:val="0"/>
          <w:color w:val="auto"/>
          <w:kern w:val="0"/>
          <w:position w:val="-2"/>
          <w:szCs w:val="21"/>
          <w:highlight w:val="none"/>
        </w:rPr>
        <w:t>（1）投标截止后投标人撤销投标文件的；</w:t>
      </w:r>
    </w:p>
    <w:p w14:paraId="123FB118">
      <w:pPr>
        <w:autoSpaceDE w:val="0"/>
        <w:autoSpaceDN w:val="0"/>
        <w:adjustRightInd w:val="0"/>
        <w:snapToGrid w:val="0"/>
        <w:spacing w:line="320" w:lineRule="exact"/>
        <w:ind w:left="13" w:leftChars="6" w:firstLine="405" w:firstLineChars="193"/>
        <w:jc w:val="left"/>
        <w:rPr>
          <w:rFonts w:ascii="宋体" w:hAnsi="宋体" w:cs="MingLiU"/>
          <w:snapToGrid w:val="0"/>
          <w:color w:val="auto"/>
          <w:kern w:val="0"/>
          <w:position w:val="-2"/>
          <w:szCs w:val="21"/>
          <w:highlight w:val="none"/>
        </w:rPr>
      </w:pPr>
      <w:r>
        <w:rPr>
          <w:rFonts w:hint="eastAsia" w:ascii="宋体" w:hAnsi="宋体" w:cs="MingLiU"/>
          <w:snapToGrid w:val="0"/>
          <w:color w:val="auto"/>
          <w:kern w:val="0"/>
          <w:position w:val="-2"/>
          <w:szCs w:val="21"/>
          <w:highlight w:val="none"/>
        </w:rPr>
        <w:t>（2）中标人无正当理由不与</w:t>
      </w:r>
      <w:r>
        <w:rPr>
          <w:rFonts w:hint="eastAsia" w:ascii="宋体" w:hAnsi="宋体" w:cs="MingLiU"/>
          <w:snapToGrid w:val="0"/>
          <w:color w:val="auto"/>
          <w:kern w:val="0"/>
          <w:position w:val="-2"/>
          <w:szCs w:val="21"/>
          <w:highlight w:val="none"/>
          <w:lang w:eastAsia="zh-CN"/>
        </w:rPr>
        <w:t>比选人</w:t>
      </w:r>
      <w:r>
        <w:rPr>
          <w:rFonts w:hint="eastAsia" w:ascii="宋体" w:hAnsi="宋体" w:cs="MingLiU"/>
          <w:snapToGrid w:val="0"/>
          <w:color w:val="auto"/>
          <w:kern w:val="0"/>
          <w:position w:val="-2"/>
          <w:szCs w:val="21"/>
          <w:highlight w:val="none"/>
        </w:rPr>
        <w:t>签订合同，在签订合同时向</w:t>
      </w:r>
      <w:r>
        <w:rPr>
          <w:rFonts w:hint="eastAsia" w:ascii="宋体" w:hAnsi="宋体"/>
          <w:color w:val="auto"/>
          <w:highlight w:val="none"/>
        </w:rPr>
        <w:t>比选</w:t>
      </w:r>
      <w:r>
        <w:rPr>
          <w:rFonts w:hint="eastAsia" w:ascii="宋体" w:hAnsi="宋体" w:cs="MingLiU"/>
          <w:snapToGrid w:val="0"/>
          <w:color w:val="auto"/>
          <w:kern w:val="0"/>
          <w:position w:val="-2"/>
          <w:szCs w:val="21"/>
          <w:highlight w:val="none"/>
        </w:rPr>
        <w:t>人提出附加条件，或者不按</w:t>
      </w:r>
      <w:r>
        <w:rPr>
          <w:rFonts w:hint="eastAsia" w:ascii="宋体" w:hAnsi="宋体"/>
          <w:color w:val="auto"/>
          <w:highlight w:val="none"/>
        </w:rPr>
        <w:t>比选</w:t>
      </w:r>
      <w:r>
        <w:rPr>
          <w:rFonts w:hint="eastAsia" w:ascii="宋体" w:hAnsi="宋体" w:cs="MingLiU"/>
          <w:snapToGrid w:val="0"/>
          <w:color w:val="auto"/>
          <w:kern w:val="0"/>
          <w:position w:val="-2"/>
          <w:szCs w:val="21"/>
          <w:highlight w:val="none"/>
        </w:rPr>
        <w:t>文件要求提交履约保证金的；</w:t>
      </w:r>
    </w:p>
    <w:p w14:paraId="515DDCB9">
      <w:pPr>
        <w:autoSpaceDE w:val="0"/>
        <w:autoSpaceDN w:val="0"/>
        <w:adjustRightInd w:val="0"/>
        <w:snapToGrid w:val="0"/>
        <w:spacing w:line="320" w:lineRule="exact"/>
        <w:ind w:left="13" w:leftChars="6" w:firstLine="405" w:firstLineChars="193"/>
        <w:jc w:val="left"/>
        <w:rPr>
          <w:rFonts w:ascii="宋体" w:hAnsi="宋体" w:cs="MingLiU"/>
          <w:snapToGrid w:val="0"/>
          <w:color w:val="auto"/>
          <w:kern w:val="0"/>
          <w:position w:val="-2"/>
          <w:szCs w:val="21"/>
          <w:highlight w:val="none"/>
        </w:rPr>
      </w:pPr>
      <w:r>
        <w:rPr>
          <w:rFonts w:hint="eastAsia" w:ascii="宋体" w:hAnsi="宋体" w:cs="MingLiU"/>
          <w:snapToGrid w:val="0"/>
          <w:color w:val="auto"/>
          <w:kern w:val="0"/>
          <w:position w:val="-2"/>
          <w:szCs w:val="21"/>
          <w:highlight w:val="none"/>
        </w:rPr>
        <w:t>（3）相关法律法规规定的其他情形。</w:t>
      </w:r>
    </w:p>
    <w:p w14:paraId="75D6FBF2">
      <w:pPr>
        <w:autoSpaceDE w:val="0"/>
        <w:autoSpaceDN w:val="0"/>
        <w:adjustRightInd w:val="0"/>
        <w:snapToGrid w:val="0"/>
        <w:spacing w:line="320" w:lineRule="exact"/>
        <w:jc w:val="left"/>
        <w:rPr>
          <w:rFonts w:ascii="宋体" w:hAnsi="宋体"/>
          <w:b/>
          <w:snapToGrid w:val="0"/>
          <w:color w:val="auto"/>
          <w:kern w:val="0"/>
          <w:highlight w:val="none"/>
        </w:rPr>
      </w:pPr>
      <w:bookmarkStart w:id="214" w:name="_Toc452058704"/>
      <w:bookmarkStart w:id="215" w:name="_Toc277082576"/>
      <w:bookmarkStart w:id="216" w:name="_Toc31907"/>
      <w:bookmarkStart w:id="217" w:name="_Toc386029669"/>
      <w:bookmarkStart w:id="218" w:name="_Toc224103341"/>
      <w:bookmarkStart w:id="219" w:name="_Toc287607770"/>
      <w:bookmarkStart w:id="220" w:name="_Toc200513150"/>
      <w:bookmarkStart w:id="221" w:name="_Toc287620709"/>
      <w:r>
        <w:rPr>
          <w:rFonts w:ascii="宋体" w:hAnsi="宋体"/>
          <w:b/>
          <w:snapToGrid w:val="0"/>
          <w:color w:val="auto"/>
          <w:kern w:val="0"/>
          <w:highlight w:val="none"/>
        </w:rPr>
        <w:t xml:space="preserve">3.5  </w:t>
      </w:r>
      <w:r>
        <w:rPr>
          <w:rFonts w:hint="eastAsia" w:ascii="宋体" w:hAnsi="宋体"/>
          <w:b/>
          <w:snapToGrid w:val="0"/>
          <w:color w:val="auto"/>
          <w:kern w:val="0"/>
          <w:highlight w:val="none"/>
        </w:rPr>
        <w:t>资格审查资料</w:t>
      </w:r>
      <w:bookmarkEnd w:id="214"/>
      <w:bookmarkEnd w:id="215"/>
      <w:bookmarkEnd w:id="216"/>
      <w:bookmarkEnd w:id="217"/>
      <w:bookmarkEnd w:id="218"/>
      <w:bookmarkEnd w:id="219"/>
      <w:bookmarkEnd w:id="220"/>
      <w:bookmarkEnd w:id="221"/>
    </w:p>
    <w:p w14:paraId="528A7860">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bookmarkStart w:id="222" w:name="_Toc386029670"/>
      <w:bookmarkStart w:id="223" w:name="_Toc277082577"/>
      <w:bookmarkStart w:id="224" w:name="_Toc224103342"/>
      <w:bookmarkStart w:id="225" w:name="_Toc287620710"/>
      <w:bookmarkStart w:id="226" w:name="_Toc200513151"/>
      <w:bookmarkStart w:id="227" w:name="_Toc287607771"/>
      <w:bookmarkStart w:id="228" w:name="_Toc29514"/>
      <w:r>
        <w:rPr>
          <w:rFonts w:hint="eastAsia" w:ascii="宋体" w:hAnsi="宋体" w:cs="MingLiU"/>
          <w:snapToGrid w:val="0"/>
          <w:color w:val="auto"/>
          <w:kern w:val="0"/>
          <w:szCs w:val="21"/>
          <w:highlight w:val="none"/>
        </w:rPr>
        <w:t>见投标人须知前附表。</w:t>
      </w:r>
    </w:p>
    <w:p w14:paraId="28A76D51">
      <w:pPr>
        <w:autoSpaceDE w:val="0"/>
        <w:autoSpaceDN w:val="0"/>
        <w:adjustRightInd w:val="0"/>
        <w:snapToGrid w:val="0"/>
        <w:spacing w:line="320" w:lineRule="exact"/>
        <w:jc w:val="left"/>
        <w:rPr>
          <w:rFonts w:ascii="宋体" w:hAnsi="宋体"/>
          <w:b/>
          <w:snapToGrid w:val="0"/>
          <w:color w:val="auto"/>
          <w:kern w:val="0"/>
          <w:highlight w:val="none"/>
        </w:rPr>
      </w:pPr>
      <w:bookmarkStart w:id="229" w:name="_Toc452058705"/>
      <w:r>
        <w:rPr>
          <w:rFonts w:ascii="宋体" w:hAnsi="宋体"/>
          <w:b/>
          <w:snapToGrid w:val="0"/>
          <w:color w:val="auto"/>
          <w:kern w:val="0"/>
          <w:highlight w:val="none"/>
        </w:rPr>
        <w:t xml:space="preserve">3.6  </w:t>
      </w:r>
      <w:r>
        <w:rPr>
          <w:rFonts w:hint="eastAsia" w:ascii="宋体" w:hAnsi="宋体"/>
          <w:b/>
          <w:snapToGrid w:val="0"/>
          <w:color w:val="auto"/>
          <w:kern w:val="0"/>
          <w:highlight w:val="none"/>
        </w:rPr>
        <w:t>备选投标方案</w:t>
      </w:r>
      <w:bookmarkEnd w:id="222"/>
      <w:bookmarkEnd w:id="223"/>
      <w:bookmarkEnd w:id="224"/>
      <w:bookmarkEnd w:id="225"/>
      <w:bookmarkEnd w:id="226"/>
      <w:bookmarkEnd w:id="227"/>
      <w:bookmarkEnd w:id="228"/>
      <w:bookmarkEnd w:id="229"/>
    </w:p>
    <w:p w14:paraId="312E3F15">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bookmarkStart w:id="230" w:name="_Toc8755"/>
      <w:bookmarkStart w:id="231" w:name="_Toc287620711"/>
      <w:bookmarkStart w:id="232" w:name="_Toc200513152"/>
      <w:bookmarkStart w:id="233" w:name="_Toc287607772"/>
      <w:bookmarkStart w:id="234" w:name="_Toc277082578"/>
      <w:bookmarkStart w:id="235" w:name="_Toc386029671"/>
      <w:bookmarkStart w:id="236" w:name="_Toc224103343"/>
      <w:r>
        <w:rPr>
          <w:rFonts w:hint="eastAsia" w:ascii="宋体" w:hAnsi="宋体" w:cs="MingLiU"/>
          <w:snapToGrid w:val="0"/>
          <w:color w:val="auto"/>
          <w:kern w:val="0"/>
          <w:szCs w:val="21"/>
          <w:highlight w:val="none"/>
        </w:rPr>
        <w:t>投标人不得递交备选投标方案。</w:t>
      </w:r>
    </w:p>
    <w:p w14:paraId="048FA45E">
      <w:pPr>
        <w:autoSpaceDE w:val="0"/>
        <w:autoSpaceDN w:val="0"/>
        <w:adjustRightInd w:val="0"/>
        <w:snapToGrid w:val="0"/>
        <w:spacing w:line="320" w:lineRule="exact"/>
        <w:jc w:val="left"/>
        <w:rPr>
          <w:rFonts w:ascii="宋体" w:hAnsi="宋体"/>
          <w:b/>
          <w:snapToGrid w:val="0"/>
          <w:color w:val="auto"/>
          <w:kern w:val="0"/>
          <w:highlight w:val="none"/>
        </w:rPr>
      </w:pPr>
      <w:bookmarkStart w:id="237" w:name="_Toc452058706"/>
      <w:r>
        <w:rPr>
          <w:rFonts w:ascii="宋体" w:hAnsi="宋体"/>
          <w:b/>
          <w:snapToGrid w:val="0"/>
          <w:color w:val="auto"/>
          <w:kern w:val="0"/>
          <w:highlight w:val="none"/>
        </w:rPr>
        <w:t>3</w:t>
      </w:r>
      <w:r>
        <w:rPr>
          <w:rFonts w:hint="eastAsia" w:ascii="宋体" w:hAnsi="宋体"/>
          <w:b/>
          <w:snapToGrid w:val="0"/>
          <w:color w:val="auto"/>
          <w:kern w:val="0"/>
          <w:highlight w:val="none"/>
        </w:rPr>
        <w:t>.</w:t>
      </w:r>
      <w:r>
        <w:rPr>
          <w:rFonts w:ascii="宋体" w:hAnsi="宋体"/>
          <w:b/>
          <w:snapToGrid w:val="0"/>
          <w:color w:val="auto"/>
          <w:kern w:val="0"/>
          <w:highlight w:val="none"/>
        </w:rPr>
        <w:t xml:space="preserve">7  </w:t>
      </w:r>
      <w:r>
        <w:rPr>
          <w:rFonts w:hint="eastAsia" w:ascii="宋体" w:hAnsi="宋体"/>
          <w:b/>
          <w:snapToGrid w:val="0"/>
          <w:color w:val="auto"/>
          <w:kern w:val="0"/>
          <w:highlight w:val="none"/>
        </w:rPr>
        <w:t>投标文件的编制</w:t>
      </w:r>
      <w:bookmarkEnd w:id="230"/>
      <w:bookmarkEnd w:id="231"/>
      <w:bookmarkEnd w:id="232"/>
      <w:bookmarkEnd w:id="233"/>
      <w:bookmarkEnd w:id="234"/>
      <w:bookmarkEnd w:id="235"/>
      <w:bookmarkEnd w:id="236"/>
      <w:bookmarkEnd w:id="237"/>
    </w:p>
    <w:p w14:paraId="66D5C39D">
      <w:pPr>
        <w:spacing w:line="320" w:lineRule="exact"/>
        <w:ind w:firstLine="420" w:firstLineChars="200"/>
        <w:rPr>
          <w:rFonts w:ascii="宋体" w:hAnsi="宋体" w:cs="MingLiU"/>
          <w:snapToGrid w:val="0"/>
          <w:color w:val="auto"/>
          <w:kern w:val="0"/>
          <w:szCs w:val="21"/>
          <w:highlight w:val="none"/>
        </w:rPr>
      </w:pPr>
      <w:bookmarkStart w:id="238" w:name="_Toc6920"/>
      <w:bookmarkStart w:id="239" w:name="_Toc200513153"/>
      <w:bookmarkStart w:id="240" w:name="_Toc287607773"/>
      <w:bookmarkStart w:id="241" w:name="_Toc277082579"/>
      <w:bookmarkStart w:id="242" w:name="_Toc386029672"/>
      <w:bookmarkStart w:id="243" w:name="_Toc224103344"/>
      <w:bookmarkStart w:id="244" w:name="_Toc25740"/>
      <w:r>
        <w:rPr>
          <w:rFonts w:hint="eastAsia" w:ascii="宋体" w:hAnsi="宋体" w:cs="MingLiU"/>
          <w:snapToGrid w:val="0"/>
          <w:color w:val="auto"/>
          <w:kern w:val="0"/>
          <w:szCs w:val="21"/>
          <w:highlight w:val="none"/>
        </w:rPr>
        <w:t>3.7.1  投标文件应按第八章“投标文件格式”进行编写，如有必要，可以增加附页，作为投标文件的组成部分。其中，投标函附录在满足比选文件实质性要求的基础上，可以提出比竞争性比选文件要求更有利于比选人的承诺。</w:t>
      </w:r>
    </w:p>
    <w:p w14:paraId="67650F8E">
      <w:pPr>
        <w:spacing w:line="32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3.7.2  投标文件应当对比选文件有关工期、投标有效期、质量要求、技术标准和要求、招标范围等实质性内容做出响应。</w:t>
      </w:r>
    </w:p>
    <w:p w14:paraId="231E75B2">
      <w:pPr>
        <w:spacing w:line="32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2F8821CE">
      <w:pPr>
        <w:spacing w:line="32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3.7.4  投标文件正本一份，副本份数见投标人须知前附表。正本和副本的封面上应清楚地标记“正本”或“副本”的字样。正本和副本封面均须加盖单位公章（鲜章）。当副本和正本不一致时，以正本为准。</w:t>
      </w:r>
    </w:p>
    <w:p w14:paraId="54EBF509">
      <w:pPr>
        <w:spacing w:line="32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3.7.5  投标文件的正本与副本应分别装订成册，并编制目录，具体装订要求见投标人须知前附表规定。</w:t>
      </w:r>
    </w:p>
    <w:p w14:paraId="6BFBD26C">
      <w:pPr>
        <w:autoSpaceDE w:val="0"/>
        <w:autoSpaceDN w:val="0"/>
        <w:adjustRightInd w:val="0"/>
        <w:snapToGrid w:val="0"/>
        <w:spacing w:line="320" w:lineRule="exact"/>
        <w:jc w:val="left"/>
        <w:rPr>
          <w:rFonts w:ascii="宋体" w:hAnsi="宋体"/>
          <w:b/>
          <w:snapToGrid w:val="0"/>
          <w:color w:val="auto"/>
          <w:kern w:val="0"/>
          <w:highlight w:val="none"/>
        </w:rPr>
      </w:pPr>
      <w:bookmarkStart w:id="245" w:name="_Toc452058707"/>
      <w:r>
        <w:rPr>
          <w:rFonts w:ascii="宋体" w:hAnsi="宋体"/>
          <w:b/>
          <w:snapToGrid w:val="0"/>
          <w:color w:val="auto"/>
          <w:kern w:val="0"/>
          <w:highlight w:val="none"/>
        </w:rPr>
        <w:t xml:space="preserve">4.  </w:t>
      </w:r>
      <w:r>
        <w:rPr>
          <w:rFonts w:hint="eastAsia" w:ascii="宋体" w:hAnsi="宋体"/>
          <w:b/>
          <w:snapToGrid w:val="0"/>
          <w:color w:val="auto"/>
          <w:kern w:val="0"/>
          <w:highlight w:val="none"/>
        </w:rPr>
        <w:t>投标</w:t>
      </w:r>
      <w:bookmarkEnd w:id="238"/>
      <w:bookmarkEnd w:id="239"/>
      <w:bookmarkEnd w:id="240"/>
      <w:bookmarkEnd w:id="241"/>
      <w:bookmarkEnd w:id="242"/>
      <w:bookmarkEnd w:id="243"/>
      <w:bookmarkEnd w:id="244"/>
      <w:bookmarkEnd w:id="245"/>
    </w:p>
    <w:p w14:paraId="2695A972">
      <w:pPr>
        <w:autoSpaceDE w:val="0"/>
        <w:autoSpaceDN w:val="0"/>
        <w:adjustRightInd w:val="0"/>
        <w:snapToGrid w:val="0"/>
        <w:spacing w:line="320" w:lineRule="exact"/>
        <w:jc w:val="left"/>
        <w:rPr>
          <w:rFonts w:ascii="宋体" w:hAnsi="宋体"/>
          <w:b/>
          <w:snapToGrid w:val="0"/>
          <w:color w:val="auto"/>
          <w:kern w:val="0"/>
          <w:highlight w:val="none"/>
        </w:rPr>
      </w:pPr>
      <w:bookmarkStart w:id="246" w:name="_Toc287607774"/>
      <w:bookmarkStart w:id="247" w:name="_Toc386029673"/>
      <w:bookmarkStart w:id="248" w:name="_Toc22832"/>
      <w:bookmarkStart w:id="249" w:name="_Toc287620713"/>
      <w:bookmarkStart w:id="250" w:name="_Toc224103345"/>
      <w:bookmarkStart w:id="251" w:name="_Toc452058708"/>
      <w:bookmarkStart w:id="252" w:name="_Toc277082580"/>
      <w:bookmarkStart w:id="253" w:name="_Toc200513154"/>
      <w:r>
        <w:rPr>
          <w:rFonts w:ascii="宋体" w:hAnsi="宋体"/>
          <w:b/>
          <w:snapToGrid w:val="0"/>
          <w:color w:val="auto"/>
          <w:kern w:val="0"/>
          <w:highlight w:val="none"/>
        </w:rPr>
        <w:t xml:space="preserve">4.1  </w:t>
      </w:r>
      <w:r>
        <w:rPr>
          <w:rFonts w:hint="eastAsia" w:ascii="宋体" w:hAnsi="宋体"/>
          <w:b/>
          <w:snapToGrid w:val="0"/>
          <w:color w:val="auto"/>
          <w:kern w:val="0"/>
          <w:highlight w:val="none"/>
        </w:rPr>
        <w:t>投标文件的密封和标记</w:t>
      </w:r>
      <w:bookmarkEnd w:id="246"/>
      <w:bookmarkEnd w:id="247"/>
      <w:bookmarkEnd w:id="248"/>
      <w:bookmarkEnd w:id="249"/>
      <w:bookmarkEnd w:id="250"/>
      <w:bookmarkEnd w:id="251"/>
      <w:bookmarkEnd w:id="252"/>
      <w:bookmarkEnd w:id="253"/>
    </w:p>
    <w:p w14:paraId="5E130333">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bookmarkStart w:id="254" w:name="_Toc200513155"/>
      <w:r>
        <w:rPr>
          <w:rFonts w:hint="eastAsia" w:ascii="宋体" w:hAnsi="宋体" w:cs="MingLiU"/>
          <w:snapToGrid w:val="0"/>
          <w:color w:val="auto"/>
          <w:kern w:val="0"/>
          <w:szCs w:val="21"/>
          <w:highlight w:val="none"/>
        </w:rPr>
        <w:t>4.1.1  投标文件的正本与副本密封见投标人须知前附表。</w:t>
      </w:r>
    </w:p>
    <w:p w14:paraId="418724FB">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4.1.2  投标文件的封套上应写明的内容见投标人须知前附表。</w:t>
      </w:r>
    </w:p>
    <w:p w14:paraId="347BAE24">
      <w:pPr>
        <w:autoSpaceDE w:val="0"/>
        <w:autoSpaceDN w:val="0"/>
        <w:adjustRightInd w:val="0"/>
        <w:snapToGrid w:val="0"/>
        <w:spacing w:line="320" w:lineRule="exact"/>
        <w:ind w:left="13" w:leftChars="6" w:firstLine="344" w:firstLineChars="164"/>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4.1.3  </w:t>
      </w:r>
      <w:r>
        <w:rPr>
          <w:rFonts w:hint="eastAsia" w:ascii="宋体" w:hAnsi="宋体" w:cs="MingLiU"/>
          <w:snapToGrid w:val="0"/>
          <w:color w:val="auto"/>
          <w:kern w:val="0"/>
          <w:szCs w:val="21"/>
          <w:highlight w:val="none"/>
        </w:rPr>
        <w:t>未按本章第</w:t>
      </w:r>
      <w:r>
        <w:rPr>
          <w:rFonts w:ascii="宋体" w:hAnsi="宋体" w:cs="MingLiU"/>
          <w:snapToGrid w:val="0"/>
          <w:color w:val="auto"/>
          <w:kern w:val="0"/>
          <w:szCs w:val="21"/>
          <w:highlight w:val="none"/>
        </w:rPr>
        <w:t xml:space="preserve"> 4.1.1 </w:t>
      </w:r>
      <w:r>
        <w:rPr>
          <w:rFonts w:hint="eastAsia" w:ascii="宋体" w:hAnsi="宋体" w:cs="MingLiU"/>
          <w:snapToGrid w:val="0"/>
          <w:color w:val="auto"/>
          <w:kern w:val="0"/>
          <w:szCs w:val="21"/>
          <w:highlight w:val="none"/>
        </w:rPr>
        <w:t>项或第</w:t>
      </w:r>
      <w:r>
        <w:rPr>
          <w:rFonts w:ascii="宋体" w:hAnsi="宋体" w:cs="MingLiU"/>
          <w:snapToGrid w:val="0"/>
          <w:color w:val="auto"/>
          <w:kern w:val="0"/>
          <w:szCs w:val="21"/>
          <w:highlight w:val="none"/>
        </w:rPr>
        <w:t xml:space="preserve"> 4.1.2 </w:t>
      </w:r>
      <w:r>
        <w:rPr>
          <w:rFonts w:hint="eastAsia" w:ascii="宋体" w:hAnsi="宋体" w:cs="MingLiU"/>
          <w:snapToGrid w:val="0"/>
          <w:color w:val="auto"/>
          <w:kern w:val="0"/>
          <w:szCs w:val="21"/>
          <w:highlight w:val="none"/>
        </w:rPr>
        <w:t>项要求密封和加写标记的投标文件，比选人不予受理。</w:t>
      </w:r>
    </w:p>
    <w:p w14:paraId="08DACE3B">
      <w:pPr>
        <w:autoSpaceDE w:val="0"/>
        <w:autoSpaceDN w:val="0"/>
        <w:adjustRightInd w:val="0"/>
        <w:snapToGrid w:val="0"/>
        <w:spacing w:line="320" w:lineRule="exact"/>
        <w:jc w:val="left"/>
        <w:rPr>
          <w:rFonts w:ascii="宋体" w:hAnsi="宋体"/>
          <w:b/>
          <w:snapToGrid w:val="0"/>
          <w:color w:val="auto"/>
          <w:kern w:val="0"/>
          <w:highlight w:val="none"/>
        </w:rPr>
      </w:pPr>
      <w:bookmarkStart w:id="255" w:name="_Toc224103346"/>
      <w:bookmarkStart w:id="256" w:name="_Toc277082581"/>
      <w:bookmarkStart w:id="257" w:name="_Toc386029674"/>
      <w:bookmarkStart w:id="258" w:name="_Toc287607775"/>
      <w:bookmarkStart w:id="259" w:name="_Toc287620714"/>
      <w:bookmarkStart w:id="260" w:name="_Toc3430"/>
      <w:bookmarkStart w:id="261" w:name="_Toc452058709"/>
      <w:r>
        <w:rPr>
          <w:rFonts w:ascii="宋体" w:hAnsi="宋体"/>
          <w:b/>
          <w:snapToGrid w:val="0"/>
          <w:color w:val="auto"/>
          <w:kern w:val="0"/>
          <w:highlight w:val="none"/>
        </w:rPr>
        <w:t xml:space="preserve">4.2  </w:t>
      </w:r>
      <w:r>
        <w:rPr>
          <w:rFonts w:hint="eastAsia" w:ascii="宋体" w:hAnsi="宋体"/>
          <w:b/>
          <w:snapToGrid w:val="0"/>
          <w:color w:val="auto"/>
          <w:kern w:val="0"/>
          <w:highlight w:val="none"/>
        </w:rPr>
        <w:t>投标文件的递交</w:t>
      </w:r>
      <w:bookmarkEnd w:id="254"/>
      <w:bookmarkEnd w:id="255"/>
      <w:bookmarkEnd w:id="256"/>
      <w:bookmarkEnd w:id="257"/>
      <w:bookmarkEnd w:id="258"/>
      <w:bookmarkEnd w:id="259"/>
      <w:bookmarkEnd w:id="260"/>
      <w:bookmarkEnd w:id="261"/>
    </w:p>
    <w:p w14:paraId="635C79D3">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cs="MingLiU"/>
          <w:snapToGrid w:val="0"/>
          <w:color w:val="auto"/>
          <w:kern w:val="0"/>
          <w:szCs w:val="21"/>
          <w:highlight w:val="none"/>
        </w:rPr>
        <w:t>投标人应在本章第</w:t>
      </w:r>
      <w:r>
        <w:rPr>
          <w:rFonts w:ascii="宋体" w:hAnsi="宋体"/>
          <w:snapToGrid w:val="0"/>
          <w:color w:val="auto"/>
          <w:kern w:val="0"/>
          <w:szCs w:val="21"/>
          <w:highlight w:val="none"/>
        </w:rPr>
        <w:t xml:space="preserve"> 2.2.2 </w:t>
      </w:r>
      <w:r>
        <w:rPr>
          <w:rFonts w:hint="eastAsia" w:ascii="宋体" w:hAnsi="宋体" w:cs="MingLiU"/>
          <w:snapToGrid w:val="0"/>
          <w:color w:val="auto"/>
          <w:kern w:val="0"/>
          <w:szCs w:val="21"/>
          <w:highlight w:val="none"/>
        </w:rPr>
        <w:t>项规定的投标截止时间前递交投标文件。</w:t>
      </w:r>
    </w:p>
    <w:p w14:paraId="7E20301B">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cs="MingLiU"/>
          <w:snapToGrid w:val="0"/>
          <w:color w:val="auto"/>
          <w:kern w:val="0"/>
          <w:szCs w:val="21"/>
          <w:highlight w:val="none"/>
        </w:rPr>
        <w:t>投标人递交投标文件的地点：见投标人须知前附表。</w:t>
      </w:r>
    </w:p>
    <w:p w14:paraId="4C8A80AC">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4.2.3  </w:t>
      </w:r>
      <w:r>
        <w:rPr>
          <w:rFonts w:hint="eastAsia" w:ascii="宋体" w:hAnsi="宋体" w:cs="MingLiU"/>
          <w:snapToGrid w:val="0"/>
          <w:color w:val="auto"/>
          <w:kern w:val="0"/>
          <w:szCs w:val="21"/>
          <w:highlight w:val="none"/>
        </w:rPr>
        <w:t>除投标人须知前附表另有规定外，投标人所递交的投标文件不予退还。</w:t>
      </w:r>
    </w:p>
    <w:p w14:paraId="271248E7">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收到投标文件后，向投标人出具签收凭证。</w:t>
      </w:r>
    </w:p>
    <w:p w14:paraId="29F038DB">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4.2.5  </w:t>
      </w:r>
      <w:r>
        <w:rPr>
          <w:rFonts w:hint="eastAsia" w:ascii="宋体" w:hAnsi="宋体" w:cs="MingLiU"/>
          <w:snapToGrid w:val="0"/>
          <w:color w:val="auto"/>
          <w:kern w:val="0"/>
          <w:szCs w:val="21"/>
          <w:highlight w:val="none"/>
        </w:rPr>
        <w:t>逾期送达的或者未送达指定地点的投标文件，比选人不予受理。</w:t>
      </w:r>
    </w:p>
    <w:p w14:paraId="1EA50C8F">
      <w:pPr>
        <w:autoSpaceDE w:val="0"/>
        <w:autoSpaceDN w:val="0"/>
        <w:adjustRightInd w:val="0"/>
        <w:snapToGrid w:val="0"/>
        <w:spacing w:line="320" w:lineRule="exact"/>
        <w:jc w:val="left"/>
        <w:rPr>
          <w:rFonts w:ascii="宋体" w:hAnsi="宋体"/>
          <w:b/>
          <w:snapToGrid w:val="0"/>
          <w:color w:val="auto"/>
          <w:kern w:val="0"/>
          <w:highlight w:val="none"/>
        </w:rPr>
      </w:pPr>
      <w:bookmarkStart w:id="262" w:name="_Toc277082582"/>
      <w:bookmarkStart w:id="263" w:name="_Toc386029675"/>
      <w:bookmarkStart w:id="264" w:name="_Toc287607776"/>
      <w:bookmarkStart w:id="265" w:name="_Toc200513156"/>
      <w:bookmarkStart w:id="266" w:name="_Toc287620715"/>
      <w:bookmarkStart w:id="267" w:name="_Toc452058710"/>
      <w:bookmarkStart w:id="268" w:name="_Toc10962"/>
      <w:bookmarkStart w:id="269" w:name="_Toc224103347"/>
      <w:r>
        <w:rPr>
          <w:rFonts w:ascii="宋体" w:hAnsi="宋体"/>
          <w:b/>
          <w:snapToGrid w:val="0"/>
          <w:color w:val="auto"/>
          <w:kern w:val="0"/>
          <w:highlight w:val="none"/>
        </w:rPr>
        <w:t xml:space="preserve">4.3  </w:t>
      </w:r>
      <w:r>
        <w:rPr>
          <w:rFonts w:hint="eastAsia" w:ascii="宋体" w:hAnsi="宋体"/>
          <w:b/>
          <w:snapToGrid w:val="0"/>
          <w:color w:val="auto"/>
          <w:kern w:val="0"/>
          <w:highlight w:val="none"/>
        </w:rPr>
        <w:t>投标文件的修改与撤回</w:t>
      </w:r>
      <w:bookmarkEnd w:id="262"/>
      <w:bookmarkEnd w:id="263"/>
      <w:bookmarkEnd w:id="264"/>
      <w:bookmarkEnd w:id="265"/>
      <w:bookmarkEnd w:id="266"/>
      <w:bookmarkEnd w:id="267"/>
      <w:bookmarkEnd w:id="268"/>
      <w:bookmarkEnd w:id="269"/>
    </w:p>
    <w:p w14:paraId="0DA634E8">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4.3.1  </w:t>
      </w:r>
      <w:r>
        <w:rPr>
          <w:rFonts w:hint="eastAsia" w:ascii="宋体" w:hAnsi="宋体" w:cs="MingLiU"/>
          <w:snapToGrid w:val="0"/>
          <w:color w:val="auto"/>
          <w:kern w:val="0"/>
          <w:szCs w:val="21"/>
          <w:highlight w:val="none"/>
        </w:rPr>
        <w:t>在本章第</w:t>
      </w:r>
      <w:r>
        <w:rPr>
          <w:rFonts w:ascii="宋体" w:hAnsi="宋体"/>
          <w:snapToGrid w:val="0"/>
          <w:color w:val="auto"/>
          <w:kern w:val="0"/>
          <w:szCs w:val="21"/>
          <w:highlight w:val="none"/>
        </w:rPr>
        <w:t>2.2.2</w:t>
      </w:r>
      <w:r>
        <w:rPr>
          <w:rFonts w:hint="eastAsia" w:ascii="宋体" w:hAnsi="宋体" w:cs="MingLiU"/>
          <w:snapToGrid w:val="0"/>
          <w:color w:val="auto"/>
          <w:kern w:val="0"/>
          <w:szCs w:val="21"/>
          <w:highlight w:val="none"/>
        </w:rPr>
        <w:t>项规定的投标截止时间前，投标人可以修改或撤回已递交的投标文件，但应以书面形式通知比选人。</w:t>
      </w:r>
    </w:p>
    <w:p w14:paraId="7576CB26">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cs="MingLiU"/>
          <w:snapToGrid w:val="0"/>
          <w:color w:val="auto"/>
          <w:kern w:val="0"/>
          <w:szCs w:val="21"/>
          <w:highlight w:val="none"/>
        </w:rPr>
        <w:t>投标人修改或撤回已递交投标文件的书面通知应按照本章第</w:t>
      </w:r>
      <w:r>
        <w:rPr>
          <w:rFonts w:ascii="宋体" w:hAnsi="宋体"/>
          <w:snapToGrid w:val="0"/>
          <w:color w:val="auto"/>
          <w:kern w:val="0"/>
          <w:szCs w:val="21"/>
          <w:highlight w:val="none"/>
        </w:rPr>
        <w:t>3.7.3</w:t>
      </w:r>
      <w:r>
        <w:rPr>
          <w:rFonts w:hint="eastAsia" w:ascii="宋体" w:hAnsi="宋体" w:cs="MingLiU"/>
          <w:snapToGrid w:val="0"/>
          <w:color w:val="auto"/>
          <w:kern w:val="0"/>
          <w:szCs w:val="21"/>
          <w:highlight w:val="none"/>
        </w:rPr>
        <w:t>项的要求签字或盖章。比选人收到书面通知后，向投标人出具签收凭证。</w:t>
      </w:r>
    </w:p>
    <w:p w14:paraId="5C7A4B8D">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4.3.3  </w:t>
      </w:r>
      <w:r>
        <w:rPr>
          <w:rFonts w:hint="eastAsia" w:ascii="宋体" w:hAnsi="宋体" w:cs="MingLiU"/>
          <w:snapToGrid w:val="0"/>
          <w:color w:val="auto"/>
          <w:kern w:val="0"/>
          <w:szCs w:val="21"/>
          <w:highlight w:val="none"/>
        </w:rPr>
        <w:t>修改的内容为投标文件的组成部分。修改的投标文件应按照本章第</w:t>
      </w:r>
      <w:r>
        <w:rPr>
          <w:rFonts w:ascii="宋体" w:hAnsi="宋体"/>
          <w:snapToGrid w:val="0"/>
          <w:color w:val="auto"/>
          <w:kern w:val="0"/>
          <w:szCs w:val="21"/>
          <w:highlight w:val="none"/>
        </w:rPr>
        <w:t>3</w:t>
      </w:r>
      <w:r>
        <w:rPr>
          <w:rFonts w:hint="eastAsia" w:ascii="宋体" w:hAnsi="宋体" w:cs="MingLiU"/>
          <w:snapToGrid w:val="0"/>
          <w:color w:val="auto"/>
          <w:kern w:val="0"/>
          <w:szCs w:val="21"/>
          <w:highlight w:val="none"/>
        </w:rPr>
        <w:t>条、第</w:t>
      </w:r>
      <w:r>
        <w:rPr>
          <w:rFonts w:hint="eastAsia" w:ascii="宋体" w:hAnsi="宋体"/>
          <w:snapToGrid w:val="0"/>
          <w:color w:val="auto"/>
          <w:kern w:val="0"/>
          <w:szCs w:val="21"/>
          <w:highlight w:val="none"/>
        </w:rPr>
        <w:t>4</w:t>
      </w:r>
      <w:r>
        <w:rPr>
          <w:rFonts w:hint="eastAsia" w:ascii="宋体" w:hAnsi="宋体" w:cs="MingLiU"/>
          <w:snapToGrid w:val="0"/>
          <w:color w:val="auto"/>
          <w:kern w:val="0"/>
          <w:szCs w:val="21"/>
          <w:highlight w:val="none"/>
        </w:rPr>
        <w:t>条规定进行编制、密封、标记和递交，并标明“修改”字样。</w:t>
      </w:r>
    </w:p>
    <w:p w14:paraId="7789FE45">
      <w:pPr>
        <w:autoSpaceDE w:val="0"/>
        <w:autoSpaceDN w:val="0"/>
        <w:adjustRightInd w:val="0"/>
        <w:snapToGrid w:val="0"/>
        <w:spacing w:line="320" w:lineRule="exact"/>
        <w:jc w:val="left"/>
        <w:rPr>
          <w:rFonts w:ascii="宋体" w:hAnsi="宋体"/>
          <w:b/>
          <w:snapToGrid w:val="0"/>
          <w:color w:val="auto"/>
          <w:kern w:val="0"/>
          <w:highlight w:val="none"/>
        </w:rPr>
      </w:pPr>
      <w:bookmarkStart w:id="270" w:name="_Toc224103348"/>
      <w:bookmarkStart w:id="271" w:name="_Toc31180"/>
      <w:bookmarkStart w:id="272" w:name="_Toc4890"/>
      <w:bookmarkStart w:id="273" w:name="_Toc277082583"/>
      <w:bookmarkStart w:id="274" w:name="_Toc386029676"/>
      <w:bookmarkStart w:id="275" w:name="_Toc287607777"/>
      <w:bookmarkStart w:id="276" w:name="_Toc200513157"/>
      <w:bookmarkStart w:id="277" w:name="_Toc452058711"/>
      <w:r>
        <w:rPr>
          <w:rFonts w:ascii="宋体" w:hAnsi="宋体"/>
          <w:b/>
          <w:snapToGrid w:val="0"/>
          <w:color w:val="auto"/>
          <w:kern w:val="0"/>
          <w:highlight w:val="none"/>
        </w:rPr>
        <w:t xml:space="preserve">5.  </w:t>
      </w:r>
      <w:r>
        <w:rPr>
          <w:rFonts w:hint="eastAsia" w:ascii="宋体" w:hAnsi="宋体"/>
          <w:b/>
          <w:snapToGrid w:val="0"/>
          <w:color w:val="auto"/>
          <w:kern w:val="0"/>
          <w:highlight w:val="none"/>
        </w:rPr>
        <w:t>开标</w:t>
      </w:r>
      <w:bookmarkEnd w:id="270"/>
      <w:bookmarkEnd w:id="271"/>
      <w:bookmarkEnd w:id="272"/>
      <w:bookmarkEnd w:id="273"/>
      <w:bookmarkEnd w:id="274"/>
      <w:bookmarkEnd w:id="275"/>
      <w:bookmarkEnd w:id="276"/>
      <w:bookmarkEnd w:id="277"/>
    </w:p>
    <w:p w14:paraId="4FF40952">
      <w:pPr>
        <w:autoSpaceDE w:val="0"/>
        <w:autoSpaceDN w:val="0"/>
        <w:adjustRightInd w:val="0"/>
        <w:snapToGrid w:val="0"/>
        <w:spacing w:line="320" w:lineRule="exact"/>
        <w:jc w:val="left"/>
        <w:rPr>
          <w:rFonts w:ascii="宋体" w:hAnsi="宋体"/>
          <w:b/>
          <w:snapToGrid w:val="0"/>
          <w:color w:val="auto"/>
          <w:kern w:val="0"/>
          <w:highlight w:val="none"/>
        </w:rPr>
      </w:pPr>
      <w:bookmarkStart w:id="278" w:name="_Toc452058712"/>
      <w:bookmarkStart w:id="279" w:name="_Toc287607778"/>
      <w:bookmarkStart w:id="280" w:name="_Toc287620717"/>
      <w:bookmarkStart w:id="281" w:name="_Toc386029677"/>
      <w:bookmarkStart w:id="282" w:name="_Toc224103349"/>
      <w:bookmarkStart w:id="283" w:name="_Toc277082584"/>
      <w:bookmarkStart w:id="284" w:name="_Toc3212"/>
      <w:bookmarkStart w:id="285" w:name="_Toc200513158"/>
      <w:r>
        <w:rPr>
          <w:rFonts w:hint="eastAsia" w:ascii="宋体" w:hAnsi="宋体"/>
          <w:b/>
          <w:snapToGrid w:val="0"/>
          <w:color w:val="auto"/>
          <w:kern w:val="0"/>
          <w:highlight w:val="none"/>
        </w:rPr>
        <w:t>5.1  开标时间和地点</w:t>
      </w:r>
      <w:bookmarkEnd w:id="278"/>
      <w:bookmarkEnd w:id="279"/>
      <w:bookmarkEnd w:id="280"/>
      <w:bookmarkEnd w:id="281"/>
      <w:bookmarkEnd w:id="282"/>
      <w:bookmarkEnd w:id="283"/>
      <w:bookmarkEnd w:id="284"/>
      <w:bookmarkEnd w:id="285"/>
    </w:p>
    <w:p w14:paraId="6163B15B">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bookmarkStart w:id="286" w:name="_Toc287607779"/>
      <w:bookmarkStart w:id="287" w:name="_Toc224103350"/>
      <w:bookmarkStart w:id="288" w:name="_Toc287620718"/>
      <w:bookmarkStart w:id="289" w:name="_Toc277082585"/>
      <w:bookmarkStart w:id="290" w:name="_Toc200513159"/>
      <w:bookmarkStart w:id="291" w:name="_Toc28038"/>
      <w:bookmarkStart w:id="292" w:name="_Toc386029678"/>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在本章第 2.2.2 项规定的投标截止时间（开标时间）和投标人须知前附表规定的地点公开开标。</w:t>
      </w:r>
    </w:p>
    <w:p w14:paraId="46DC5C64">
      <w:pPr>
        <w:autoSpaceDE w:val="0"/>
        <w:autoSpaceDN w:val="0"/>
        <w:adjustRightInd w:val="0"/>
        <w:snapToGrid w:val="0"/>
        <w:spacing w:line="320" w:lineRule="exact"/>
        <w:jc w:val="left"/>
        <w:rPr>
          <w:rFonts w:ascii="宋体" w:hAnsi="宋体"/>
          <w:b/>
          <w:snapToGrid w:val="0"/>
          <w:color w:val="auto"/>
          <w:kern w:val="0"/>
          <w:highlight w:val="none"/>
        </w:rPr>
      </w:pPr>
      <w:bookmarkStart w:id="293" w:name="_Toc452058713"/>
      <w:r>
        <w:rPr>
          <w:rFonts w:ascii="宋体" w:hAnsi="宋体"/>
          <w:b/>
          <w:snapToGrid w:val="0"/>
          <w:color w:val="auto"/>
          <w:kern w:val="0"/>
          <w:highlight w:val="none"/>
        </w:rPr>
        <w:t xml:space="preserve">5.2  </w:t>
      </w:r>
      <w:r>
        <w:rPr>
          <w:rFonts w:hint="eastAsia" w:ascii="宋体" w:hAnsi="宋体"/>
          <w:b/>
          <w:snapToGrid w:val="0"/>
          <w:color w:val="auto"/>
          <w:kern w:val="0"/>
          <w:highlight w:val="none"/>
        </w:rPr>
        <w:t>开标程序</w:t>
      </w:r>
      <w:bookmarkEnd w:id="286"/>
      <w:bookmarkEnd w:id="287"/>
      <w:bookmarkEnd w:id="288"/>
      <w:bookmarkEnd w:id="289"/>
      <w:bookmarkEnd w:id="290"/>
      <w:bookmarkEnd w:id="293"/>
    </w:p>
    <w:p w14:paraId="670BEE81">
      <w:pPr>
        <w:autoSpaceDE w:val="0"/>
        <w:autoSpaceDN w:val="0"/>
        <w:adjustRightInd w:val="0"/>
        <w:snapToGrid w:val="0"/>
        <w:spacing w:line="32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见投标人须知前附表</w:t>
      </w:r>
      <w:bookmarkEnd w:id="291"/>
      <w:bookmarkEnd w:id="292"/>
      <w:r>
        <w:rPr>
          <w:rFonts w:hint="eastAsia" w:ascii="宋体" w:hAnsi="宋体"/>
          <w:snapToGrid w:val="0"/>
          <w:color w:val="auto"/>
          <w:kern w:val="0"/>
          <w:szCs w:val="21"/>
          <w:highlight w:val="none"/>
        </w:rPr>
        <w:t>。</w:t>
      </w:r>
    </w:p>
    <w:p w14:paraId="1A9FFCE5">
      <w:pPr>
        <w:autoSpaceDE w:val="0"/>
        <w:autoSpaceDN w:val="0"/>
        <w:adjustRightInd w:val="0"/>
        <w:snapToGrid w:val="0"/>
        <w:spacing w:line="320" w:lineRule="exact"/>
        <w:jc w:val="left"/>
        <w:rPr>
          <w:rFonts w:ascii="宋体" w:hAnsi="宋体"/>
          <w:b/>
          <w:snapToGrid w:val="0"/>
          <w:color w:val="auto"/>
          <w:kern w:val="0"/>
          <w:highlight w:val="none"/>
        </w:rPr>
      </w:pPr>
      <w:bookmarkStart w:id="294" w:name="_Toc452058714"/>
      <w:bookmarkStart w:id="295" w:name="_Toc200513160"/>
      <w:bookmarkStart w:id="296" w:name="_Toc30237"/>
      <w:bookmarkStart w:id="297" w:name="_Toc287607780"/>
      <w:bookmarkStart w:id="298" w:name="_Toc3979"/>
      <w:bookmarkStart w:id="299" w:name="_Toc224103351"/>
      <w:bookmarkStart w:id="300" w:name="_Toc386029679"/>
      <w:bookmarkStart w:id="301" w:name="_Toc277082586"/>
      <w:r>
        <w:rPr>
          <w:rFonts w:ascii="宋体" w:hAnsi="宋体"/>
          <w:b/>
          <w:snapToGrid w:val="0"/>
          <w:color w:val="auto"/>
          <w:kern w:val="0"/>
          <w:highlight w:val="none"/>
        </w:rPr>
        <w:t xml:space="preserve">6.  </w:t>
      </w:r>
      <w:r>
        <w:rPr>
          <w:rFonts w:hint="eastAsia" w:ascii="宋体" w:hAnsi="宋体"/>
          <w:b/>
          <w:snapToGrid w:val="0"/>
          <w:color w:val="auto"/>
          <w:kern w:val="0"/>
          <w:highlight w:val="none"/>
        </w:rPr>
        <w:t>评标</w:t>
      </w:r>
      <w:bookmarkEnd w:id="294"/>
      <w:bookmarkEnd w:id="295"/>
      <w:bookmarkEnd w:id="296"/>
      <w:bookmarkEnd w:id="297"/>
      <w:bookmarkEnd w:id="298"/>
      <w:bookmarkEnd w:id="299"/>
      <w:bookmarkEnd w:id="300"/>
      <w:bookmarkEnd w:id="301"/>
    </w:p>
    <w:p w14:paraId="226A8271">
      <w:pPr>
        <w:autoSpaceDE w:val="0"/>
        <w:autoSpaceDN w:val="0"/>
        <w:adjustRightInd w:val="0"/>
        <w:snapToGrid w:val="0"/>
        <w:spacing w:line="320" w:lineRule="exact"/>
        <w:jc w:val="left"/>
        <w:rPr>
          <w:rFonts w:ascii="宋体" w:hAnsi="宋体"/>
          <w:b/>
          <w:snapToGrid w:val="0"/>
          <w:color w:val="auto"/>
          <w:kern w:val="0"/>
          <w:highlight w:val="none"/>
        </w:rPr>
      </w:pPr>
      <w:bookmarkStart w:id="302" w:name="_Toc200513161"/>
      <w:bookmarkStart w:id="303" w:name="_Toc287607781"/>
      <w:bookmarkStart w:id="304" w:name="_Toc287620720"/>
      <w:bookmarkStart w:id="305" w:name="_Toc277082587"/>
      <w:bookmarkStart w:id="306" w:name="_Toc224103352"/>
      <w:bookmarkStart w:id="307" w:name="_Toc452058715"/>
      <w:bookmarkStart w:id="308" w:name="_Toc24437"/>
      <w:bookmarkStart w:id="309" w:name="_Toc386029680"/>
      <w:r>
        <w:rPr>
          <w:rFonts w:ascii="宋体" w:hAnsi="宋体"/>
          <w:b/>
          <w:snapToGrid w:val="0"/>
          <w:color w:val="auto"/>
          <w:kern w:val="0"/>
          <w:highlight w:val="none"/>
        </w:rPr>
        <w:t xml:space="preserve">6.1  </w:t>
      </w:r>
      <w:r>
        <w:rPr>
          <w:rFonts w:hint="eastAsia" w:ascii="宋体" w:hAnsi="宋体"/>
          <w:b/>
          <w:snapToGrid w:val="0"/>
          <w:color w:val="auto"/>
          <w:kern w:val="0"/>
          <w:highlight w:val="none"/>
        </w:rPr>
        <w:t>评标委员会</w:t>
      </w:r>
      <w:bookmarkEnd w:id="302"/>
      <w:bookmarkEnd w:id="303"/>
      <w:bookmarkEnd w:id="304"/>
      <w:bookmarkEnd w:id="305"/>
      <w:bookmarkEnd w:id="306"/>
      <w:bookmarkEnd w:id="307"/>
      <w:bookmarkEnd w:id="308"/>
      <w:bookmarkEnd w:id="309"/>
    </w:p>
    <w:p w14:paraId="747D88C8">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6.1.1  </w:t>
      </w:r>
      <w:r>
        <w:rPr>
          <w:rFonts w:hint="eastAsia" w:ascii="宋体" w:hAnsi="宋体" w:cs="MingLiU"/>
          <w:snapToGrid w:val="0"/>
          <w:color w:val="auto"/>
          <w:kern w:val="0"/>
          <w:szCs w:val="21"/>
          <w:highlight w:val="none"/>
        </w:rPr>
        <w:t>评标由比选人依法组建的评标委员会负责。评标委员会由有关技术、经济等方面的专家组成。评标委员会成员人数以及技术、经济等方面专家的确定方式见投标人须知前附表。</w:t>
      </w:r>
    </w:p>
    <w:p w14:paraId="30807B73">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6.1.2  </w:t>
      </w:r>
      <w:r>
        <w:rPr>
          <w:rFonts w:hint="eastAsia" w:ascii="宋体" w:hAnsi="宋体" w:cs="MingLiU"/>
          <w:snapToGrid w:val="0"/>
          <w:color w:val="auto"/>
          <w:kern w:val="0"/>
          <w:szCs w:val="21"/>
          <w:highlight w:val="none"/>
        </w:rPr>
        <w:t>评标委员会成员有下列情形之一的，应当回避：</w:t>
      </w:r>
    </w:p>
    <w:p w14:paraId="50F7982F">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1</w:t>
      </w:r>
      <w:r>
        <w:rPr>
          <w:rFonts w:hint="eastAsia" w:ascii="宋体" w:hAnsi="宋体" w:cs="MingLiU"/>
          <w:snapToGrid w:val="0"/>
          <w:color w:val="auto"/>
          <w:kern w:val="0"/>
          <w:szCs w:val="21"/>
          <w:highlight w:val="none"/>
        </w:rPr>
        <w:t>）比选人（比选人代表除外）或投标人的在职员工及主要负责人的近亲属；</w:t>
      </w:r>
    </w:p>
    <w:p w14:paraId="5BD62CE6">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2</w:t>
      </w:r>
      <w:r>
        <w:rPr>
          <w:rFonts w:hint="eastAsia" w:ascii="宋体" w:hAnsi="宋体" w:cs="MingLiU"/>
          <w:snapToGrid w:val="0"/>
          <w:color w:val="auto"/>
          <w:kern w:val="0"/>
          <w:szCs w:val="21"/>
          <w:highlight w:val="none"/>
        </w:rPr>
        <w:t>）项目的主管部门或者行政监督部门的人员；</w:t>
      </w:r>
    </w:p>
    <w:p w14:paraId="7B1C0FC9">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3</w:t>
      </w:r>
      <w:r>
        <w:rPr>
          <w:rFonts w:hint="eastAsia" w:ascii="宋体" w:hAnsi="宋体" w:cs="MingLiU"/>
          <w:snapToGrid w:val="0"/>
          <w:color w:val="auto"/>
          <w:kern w:val="0"/>
          <w:szCs w:val="21"/>
          <w:highlight w:val="none"/>
        </w:rPr>
        <w:t>）与投标人有利害关系，可能影响对投标公正评审的；</w:t>
      </w:r>
    </w:p>
    <w:p w14:paraId="3FB9BE8E">
      <w:pPr>
        <w:autoSpaceDE w:val="0"/>
        <w:autoSpaceDN w:val="0"/>
        <w:adjustRightInd w:val="0"/>
        <w:snapToGrid w:val="0"/>
        <w:spacing w:line="320" w:lineRule="exact"/>
        <w:ind w:firstLine="363" w:firstLineChars="173"/>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4</w:t>
      </w:r>
      <w:r>
        <w:rPr>
          <w:rFonts w:hint="eastAsia" w:ascii="宋体" w:hAnsi="宋体" w:cs="MingLiU"/>
          <w:snapToGrid w:val="0"/>
          <w:color w:val="auto"/>
          <w:kern w:val="0"/>
          <w:szCs w:val="21"/>
          <w:highlight w:val="none"/>
        </w:rPr>
        <w:t>）曾因在招标、评标以及其他与招标投标有关活动中从事违法行为而受过行政处罚或刑事处罚的。</w:t>
      </w:r>
    </w:p>
    <w:p w14:paraId="298E7E0F">
      <w:pPr>
        <w:autoSpaceDE w:val="0"/>
        <w:autoSpaceDN w:val="0"/>
        <w:adjustRightInd w:val="0"/>
        <w:snapToGrid w:val="0"/>
        <w:spacing w:line="320" w:lineRule="exact"/>
        <w:jc w:val="left"/>
        <w:rPr>
          <w:rFonts w:ascii="宋体" w:hAnsi="宋体"/>
          <w:b/>
          <w:snapToGrid w:val="0"/>
          <w:color w:val="auto"/>
          <w:kern w:val="0"/>
          <w:highlight w:val="none"/>
        </w:rPr>
      </w:pPr>
      <w:bookmarkStart w:id="310" w:name="_Toc386029681"/>
      <w:bookmarkStart w:id="311" w:name="_Toc287607782"/>
      <w:bookmarkStart w:id="312" w:name="_Toc277082588"/>
      <w:bookmarkStart w:id="313" w:name="_Toc200513162"/>
      <w:bookmarkStart w:id="314" w:name="_Toc287620721"/>
      <w:bookmarkStart w:id="315" w:name="_Toc224103353"/>
      <w:bookmarkStart w:id="316" w:name="_Toc452058716"/>
      <w:bookmarkStart w:id="317" w:name="_Toc18690"/>
      <w:r>
        <w:rPr>
          <w:rFonts w:ascii="宋体" w:hAnsi="宋体"/>
          <w:b/>
          <w:snapToGrid w:val="0"/>
          <w:color w:val="auto"/>
          <w:kern w:val="0"/>
          <w:highlight w:val="none"/>
        </w:rPr>
        <w:t xml:space="preserve">6.2  </w:t>
      </w:r>
      <w:r>
        <w:rPr>
          <w:rFonts w:hint="eastAsia" w:ascii="宋体" w:hAnsi="宋体"/>
          <w:b/>
          <w:snapToGrid w:val="0"/>
          <w:color w:val="auto"/>
          <w:kern w:val="0"/>
          <w:highlight w:val="none"/>
        </w:rPr>
        <w:t>评标原则</w:t>
      </w:r>
      <w:bookmarkEnd w:id="310"/>
      <w:bookmarkEnd w:id="311"/>
      <w:bookmarkEnd w:id="312"/>
      <w:bookmarkEnd w:id="313"/>
      <w:bookmarkEnd w:id="314"/>
      <w:bookmarkEnd w:id="315"/>
      <w:bookmarkEnd w:id="316"/>
      <w:bookmarkEnd w:id="317"/>
    </w:p>
    <w:p w14:paraId="1B222EF2">
      <w:pPr>
        <w:autoSpaceDE w:val="0"/>
        <w:autoSpaceDN w:val="0"/>
        <w:adjustRightInd w:val="0"/>
        <w:snapToGrid w:val="0"/>
        <w:spacing w:line="320" w:lineRule="exact"/>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 xml:space="preserve">    评标活动遵循公平、公正、科学和择优的原则。</w:t>
      </w:r>
    </w:p>
    <w:p w14:paraId="49C538FC">
      <w:pPr>
        <w:autoSpaceDE w:val="0"/>
        <w:autoSpaceDN w:val="0"/>
        <w:adjustRightInd w:val="0"/>
        <w:snapToGrid w:val="0"/>
        <w:spacing w:line="320" w:lineRule="exact"/>
        <w:jc w:val="left"/>
        <w:rPr>
          <w:rFonts w:ascii="宋体" w:hAnsi="宋体"/>
          <w:b/>
          <w:snapToGrid w:val="0"/>
          <w:color w:val="auto"/>
          <w:kern w:val="0"/>
          <w:highlight w:val="none"/>
        </w:rPr>
      </w:pPr>
      <w:bookmarkStart w:id="318" w:name="_Toc200513163"/>
      <w:bookmarkStart w:id="319" w:name="_Toc277082589"/>
      <w:bookmarkStart w:id="320" w:name="_Toc287607783"/>
      <w:bookmarkStart w:id="321" w:name="_Toc452058717"/>
      <w:bookmarkStart w:id="322" w:name="_Toc287620722"/>
      <w:bookmarkStart w:id="323" w:name="_Toc224103354"/>
      <w:bookmarkStart w:id="324" w:name="_Toc386029682"/>
      <w:bookmarkStart w:id="325" w:name="_Toc20177"/>
      <w:r>
        <w:rPr>
          <w:rFonts w:ascii="宋体" w:hAnsi="宋体"/>
          <w:b/>
          <w:snapToGrid w:val="0"/>
          <w:color w:val="auto"/>
          <w:kern w:val="0"/>
          <w:highlight w:val="none"/>
        </w:rPr>
        <w:t xml:space="preserve">6.3  </w:t>
      </w:r>
      <w:r>
        <w:rPr>
          <w:rFonts w:hint="eastAsia" w:ascii="宋体" w:hAnsi="宋体"/>
          <w:b/>
          <w:snapToGrid w:val="0"/>
          <w:color w:val="auto"/>
          <w:kern w:val="0"/>
          <w:highlight w:val="none"/>
        </w:rPr>
        <w:t>评标</w:t>
      </w:r>
      <w:bookmarkEnd w:id="318"/>
      <w:bookmarkEnd w:id="319"/>
      <w:bookmarkEnd w:id="320"/>
      <w:bookmarkEnd w:id="321"/>
      <w:bookmarkEnd w:id="322"/>
      <w:bookmarkEnd w:id="323"/>
      <w:bookmarkEnd w:id="324"/>
      <w:bookmarkEnd w:id="325"/>
    </w:p>
    <w:p w14:paraId="20074DB2">
      <w:pPr>
        <w:autoSpaceDE w:val="0"/>
        <w:autoSpaceDN w:val="0"/>
        <w:adjustRightInd w:val="0"/>
        <w:snapToGrid w:val="0"/>
        <w:spacing w:line="320" w:lineRule="exact"/>
        <w:ind w:firstLine="420"/>
        <w:jc w:val="left"/>
        <w:rPr>
          <w:rFonts w:ascii="宋体" w:hAnsi="宋体"/>
          <w:snapToGrid w:val="0"/>
          <w:color w:val="auto"/>
          <w:kern w:val="0"/>
          <w:highlight w:val="none"/>
        </w:rPr>
      </w:pPr>
      <w:r>
        <w:rPr>
          <w:rFonts w:hint="eastAsia" w:ascii="宋体" w:hAnsi="宋体"/>
          <w:snapToGrid w:val="0"/>
          <w:color w:val="auto"/>
          <w:kern w:val="0"/>
          <w:highlight w:val="none"/>
        </w:rPr>
        <w:t>评标委员会按照第三章“评标办法”规定的方法、评审因素、标准和程序对投标文件进行评审。第三章“评标办法”没有规定的方法、评审因素和标准，不作为评标依据。</w:t>
      </w:r>
    </w:p>
    <w:p w14:paraId="7E2A3B91">
      <w:pPr>
        <w:autoSpaceDE w:val="0"/>
        <w:autoSpaceDN w:val="0"/>
        <w:adjustRightInd w:val="0"/>
        <w:snapToGrid w:val="0"/>
        <w:spacing w:line="320" w:lineRule="exact"/>
        <w:jc w:val="left"/>
        <w:rPr>
          <w:rFonts w:ascii="宋体" w:hAnsi="宋体"/>
          <w:b/>
          <w:snapToGrid w:val="0"/>
          <w:color w:val="auto"/>
          <w:kern w:val="0"/>
          <w:highlight w:val="none"/>
        </w:rPr>
      </w:pPr>
      <w:bookmarkStart w:id="326" w:name="_Toc386029683"/>
      <w:bookmarkStart w:id="327" w:name="_Toc7278"/>
      <w:bookmarkStart w:id="328" w:name="_Toc200513164"/>
      <w:bookmarkStart w:id="329" w:name="_Toc224103355"/>
      <w:bookmarkStart w:id="330" w:name="_Toc277082590"/>
      <w:bookmarkStart w:id="331" w:name="_Toc287607784"/>
      <w:bookmarkStart w:id="332" w:name="_Toc452058718"/>
      <w:bookmarkStart w:id="333" w:name="_Toc26653"/>
      <w:r>
        <w:rPr>
          <w:rFonts w:ascii="宋体" w:hAnsi="宋体"/>
          <w:b/>
          <w:snapToGrid w:val="0"/>
          <w:color w:val="auto"/>
          <w:kern w:val="0"/>
          <w:highlight w:val="none"/>
        </w:rPr>
        <w:t xml:space="preserve">7.  </w:t>
      </w:r>
      <w:r>
        <w:rPr>
          <w:rFonts w:hint="eastAsia" w:ascii="宋体" w:hAnsi="宋体"/>
          <w:b/>
          <w:snapToGrid w:val="0"/>
          <w:color w:val="auto"/>
          <w:kern w:val="0"/>
          <w:highlight w:val="none"/>
        </w:rPr>
        <w:t>合同授予</w:t>
      </w:r>
      <w:bookmarkEnd w:id="326"/>
      <w:bookmarkEnd w:id="327"/>
      <w:bookmarkEnd w:id="328"/>
      <w:bookmarkEnd w:id="329"/>
      <w:bookmarkEnd w:id="330"/>
      <w:bookmarkEnd w:id="331"/>
      <w:bookmarkEnd w:id="332"/>
      <w:bookmarkEnd w:id="333"/>
    </w:p>
    <w:p w14:paraId="5F57D135">
      <w:pPr>
        <w:autoSpaceDE w:val="0"/>
        <w:autoSpaceDN w:val="0"/>
        <w:adjustRightInd w:val="0"/>
        <w:snapToGrid w:val="0"/>
        <w:spacing w:line="320" w:lineRule="exact"/>
        <w:jc w:val="left"/>
        <w:rPr>
          <w:rFonts w:ascii="宋体" w:hAnsi="宋体"/>
          <w:b/>
          <w:snapToGrid w:val="0"/>
          <w:color w:val="auto"/>
          <w:kern w:val="0"/>
          <w:highlight w:val="none"/>
        </w:rPr>
      </w:pPr>
      <w:bookmarkStart w:id="334" w:name="_Toc452058719"/>
      <w:bookmarkStart w:id="335" w:name="_Toc200513165"/>
      <w:bookmarkStart w:id="336" w:name="_Toc277082591"/>
      <w:bookmarkStart w:id="337" w:name="_Toc224103356"/>
      <w:bookmarkStart w:id="338" w:name="_Toc386029684"/>
      <w:bookmarkStart w:id="339" w:name="_Toc25382"/>
      <w:bookmarkStart w:id="340" w:name="_Toc287620724"/>
      <w:bookmarkStart w:id="341" w:name="_Toc287607785"/>
      <w:r>
        <w:rPr>
          <w:rFonts w:ascii="宋体" w:hAnsi="宋体"/>
          <w:b/>
          <w:snapToGrid w:val="0"/>
          <w:color w:val="auto"/>
          <w:kern w:val="0"/>
          <w:highlight w:val="none"/>
        </w:rPr>
        <w:t xml:space="preserve">7.1  </w:t>
      </w:r>
      <w:r>
        <w:rPr>
          <w:rFonts w:hint="eastAsia" w:ascii="宋体" w:hAnsi="宋体"/>
          <w:b/>
          <w:snapToGrid w:val="0"/>
          <w:color w:val="auto"/>
          <w:kern w:val="0"/>
          <w:highlight w:val="none"/>
        </w:rPr>
        <w:t>定标方式</w:t>
      </w:r>
      <w:bookmarkEnd w:id="334"/>
      <w:bookmarkEnd w:id="335"/>
      <w:bookmarkEnd w:id="336"/>
      <w:bookmarkEnd w:id="337"/>
      <w:bookmarkEnd w:id="338"/>
      <w:bookmarkEnd w:id="339"/>
      <w:bookmarkEnd w:id="340"/>
      <w:bookmarkEnd w:id="341"/>
    </w:p>
    <w:p w14:paraId="36750BDB">
      <w:pPr>
        <w:autoSpaceDE w:val="0"/>
        <w:autoSpaceDN w:val="0"/>
        <w:adjustRightInd w:val="0"/>
        <w:snapToGrid w:val="0"/>
        <w:spacing w:line="320" w:lineRule="exact"/>
        <w:ind w:firstLine="420" w:firstLineChars="200"/>
        <w:jc w:val="left"/>
        <w:rPr>
          <w:rFonts w:ascii="宋体" w:hAnsi="宋体"/>
          <w:color w:val="auto"/>
          <w:szCs w:val="21"/>
          <w:highlight w:val="none"/>
        </w:rPr>
      </w:pPr>
      <w:bookmarkStart w:id="342" w:name="_Toc23110"/>
      <w:bookmarkStart w:id="343" w:name="_Toc287620725"/>
      <w:bookmarkStart w:id="344" w:name="_Toc200513166"/>
      <w:bookmarkStart w:id="345" w:name="_Toc386029685"/>
      <w:bookmarkStart w:id="346" w:name="_Toc277082592"/>
      <w:bookmarkStart w:id="347" w:name="_Toc224103357"/>
      <w:bookmarkStart w:id="348" w:name="_Toc287607786"/>
      <w:r>
        <w:rPr>
          <w:rFonts w:hint="eastAsia" w:ascii="宋体" w:hAnsi="宋体"/>
          <w:color w:val="auto"/>
          <w:szCs w:val="21"/>
          <w:highlight w:val="none"/>
        </w:rPr>
        <w:t>7.1.1 除投标人须知前附表规定评标委员会直接确定中标人外，</w:t>
      </w:r>
      <w:r>
        <w:rPr>
          <w:rFonts w:hint="eastAsia" w:ascii="宋体" w:hAnsi="宋体"/>
          <w:color w:val="auto"/>
          <w:szCs w:val="21"/>
          <w:highlight w:val="none"/>
          <w:lang w:eastAsia="zh-CN"/>
        </w:rPr>
        <w:t>比选人</w:t>
      </w:r>
      <w:r>
        <w:rPr>
          <w:rFonts w:hint="eastAsia" w:ascii="宋体" w:hAnsi="宋体"/>
          <w:color w:val="auto"/>
          <w:szCs w:val="21"/>
          <w:highlight w:val="none"/>
        </w:rPr>
        <w:t>依据评标委员会推荐的中标候选人确定中标人，评标委员会推荐中标候选人的人数见投标人须知前附表。</w:t>
      </w:r>
    </w:p>
    <w:p w14:paraId="3DECCEBF">
      <w:pPr>
        <w:autoSpaceDE w:val="0"/>
        <w:autoSpaceDN w:val="0"/>
        <w:adjustRightInd w:val="0"/>
        <w:snapToGrid w:val="0"/>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7.1.2 比选人应当确定排名第一的中标候选人为中标人。排名第一的中标候选人放弃中标、因不可抗力不能履行合同、不按照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hint="eastAsia" w:ascii="宋体" w:hAnsi="宋体"/>
          <w:color w:val="auto"/>
          <w:szCs w:val="21"/>
          <w:highlight w:val="none"/>
        </w:rPr>
        <w:t>要求提交履约保证金，或者被查实存在影响中标结果的违法行为等情形，不符合中标条件的，</w:t>
      </w:r>
      <w:r>
        <w:rPr>
          <w:rFonts w:hint="eastAsia" w:ascii="宋体" w:hAnsi="宋体" w:cs="MingLiU"/>
          <w:snapToGrid w:val="0"/>
          <w:color w:val="auto"/>
          <w:kern w:val="0"/>
          <w:szCs w:val="21"/>
          <w:highlight w:val="none"/>
        </w:rPr>
        <w:t>比选</w:t>
      </w:r>
      <w:r>
        <w:rPr>
          <w:rFonts w:hint="eastAsia" w:ascii="宋体" w:hAnsi="宋体"/>
          <w:color w:val="auto"/>
          <w:szCs w:val="21"/>
          <w:highlight w:val="none"/>
        </w:rPr>
        <w:t>人可以按照评标委员会提出的中标候选人名单排序依次确定其他中标候选人为中标人，</w:t>
      </w:r>
      <w:r>
        <w:rPr>
          <w:rFonts w:hint="eastAsia" w:ascii="宋体" w:hAnsi="宋体"/>
          <w:b/>
          <w:color w:val="auto"/>
          <w:szCs w:val="21"/>
          <w:highlight w:val="none"/>
        </w:rPr>
        <w:t>也可以重新比选。</w:t>
      </w:r>
      <w:r>
        <w:rPr>
          <w:rFonts w:hint="eastAsia" w:ascii="宋体" w:hAnsi="宋体"/>
          <w:color w:val="auto"/>
          <w:szCs w:val="21"/>
          <w:highlight w:val="none"/>
        </w:rPr>
        <w:t>排名第一的中标候选人放弃中标后，排名第二或第三的中标候选人按次序确定为中标人的，其投标报价高于第一中标候选人投标报价的，须以第一中标候选人的投标价格为中标价格，其投标价格低于第一中标候选人投标报价的，以其实际投标价格为中标价格。</w:t>
      </w:r>
    </w:p>
    <w:bookmarkEnd w:id="342"/>
    <w:bookmarkEnd w:id="343"/>
    <w:bookmarkEnd w:id="344"/>
    <w:bookmarkEnd w:id="345"/>
    <w:bookmarkEnd w:id="346"/>
    <w:bookmarkEnd w:id="347"/>
    <w:bookmarkEnd w:id="348"/>
    <w:p w14:paraId="71AE9F88">
      <w:pPr>
        <w:autoSpaceDE w:val="0"/>
        <w:autoSpaceDN w:val="0"/>
        <w:adjustRightInd w:val="0"/>
        <w:snapToGrid w:val="0"/>
        <w:spacing w:line="320" w:lineRule="exact"/>
        <w:jc w:val="left"/>
        <w:rPr>
          <w:rFonts w:ascii="宋体" w:hAnsi="宋体"/>
          <w:b/>
          <w:snapToGrid w:val="0"/>
          <w:color w:val="auto"/>
          <w:kern w:val="0"/>
          <w:highlight w:val="none"/>
        </w:rPr>
      </w:pPr>
      <w:bookmarkStart w:id="349" w:name="_Toc452058720"/>
      <w:bookmarkStart w:id="350" w:name="_Toc277082593"/>
      <w:bookmarkStart w:id="351" w:name="_Toc224103358"/>
      <w:bookmarkStart w:id="352" w:name="_Toc287607787"/>
      <w:bookmarkStart w:id="353" w:name="_Toc386029686"/>
      <w:bookmarkStart w:id="354" w:name="_Toc200513167"/>
      <w:bookmarkStart w:id="355" w:name="_Toc17730"/>
      <w:bookmarkStart w:id="356" w:name="_Toc287620726"/>
      <w:r>
        <w:rPr>
          <w:rFonts w:ascii="宋体" w:hAnsi="宋体"/>
          <w:b/>
          <w:snapToGrid w:val="0"/>
          <w:color w:val="auto"/>
          <w:kern w:val="0"/>
          <w:highlight w:val="none"/>
        </w:rPr>
        <w:t xml:space="preserve">7.2  </w:t>
      </w:r>
      <w:r>
        <w:rPr>
          <w:rFonts w:hint="eastAsia" w:ascii="宋体" w:hAnsi="宋体"/>
          <w:b/>
          <w:snapToGrid w:val="0"/>
          <w:color w:val="auto"/>
          <w:kern w:val="0"/>
          <w:highlight w:val="none"/>
        </w:rPr>
        <w:t>中标公示及中标通知</w:t>
      </w:r>
      <w:bookmarkEnd w:id="349"/>
    </w:p>
    <w:p w14:paraId="5FD69289">
      <w:pPr>
        <w:autoSpaceDE w:val="0"/>
        <w:autoSpaceDN w:val="0"/>
        <w:adjustRightInd w:val="0"/>
        <w:snapToGrid w:val="0"/>
        <w:spacing w:line="320" w:lineRule="exact"/>
        <w:ind w:firstLine="420"/>
        <w:rPr>
          <w:rFonts w:ascii="宋体" w:hAnsi="宋体"/>
          <w:snapToGrid w:val="0"/>
          <w:color w:val="auto"/>
          <w:kern w:val="0"/>
          <w:szCs w:val="21"/>
          <w:highlight w:val="none"/>
        </w:rPr>
      </w:pPr>
      <w:r>
        <w:rPr>
          <w:rFonts w:hint="eastAsia" w:ascii="宋体" w:hAnsi="宋体" w:cs="MingLiU"/>
          <w:snapToGrid w:val="0"/>
          <w:color w:val="auto"/>
          <w:kern w:val="0"/>
          <w:szCs w:val="21"/>
          <w:highlight w:val="none"/>
        </w:rPr>
        <w:t>比选</w:t>
      </w:r>
      <w:r>
        <w:rPr>
          <w:rFonts w:hint="eastAsia" w:ascii="宋体" w:hAnsi="宋体"/>
          <w:snapToGrid w:val="0"/>
          <w:color w:val="auto"/>
          <w:kern w:val="0"/>
          <w:szCs w:val="21"/>
          <w:highlight w:val="none"/>
        </w:rPr>
        <w:t>人应当在</w:t>
      </w:r>
      <w:r>
        <w:rPr>
          <w:rFonts w:hint="eastAsia"/>
          <w:color w:val="auto"/>
          <w:highlight w:val="none"/>
        </w:rPr>
        <w:t>评标结束后</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日内公示中标候选人，公示期不得少于</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日。</w:t>
      </w:r>
    </w:p>
    <w:p w14:paraId="0210860D">
      <w:pPr>
        <w:autoSpaceDE w:val="0"/>
        <w:autoSpaceDN w:val="0"/>
        <w:adjustRightInd w:val="0"/>
        <w:snapToGrid w:val="0"/>
        <w:spacing w:line="32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在本章第</w:t>
      </w:r>
      <w:r>
        <w:rPr>
          <w:rFonts w:ascii="宋体" w:hAnsi="宋体"/>
          <w:snapToGrid w:val="0"/>
          <w:color w:val="auto"/>
          <w:kern w:val="0"/>
          <w:szCs w:val="21"/>
          <w:highlight w:val="none"/>
        </w:rPr>
        <w:t xml:space="preserve"> 3.3 </w:t>
      </w:r>
      <w:r>
        <w:rPr>
          <w:rFonts w:hint="eastAsia" w:ascii="宋体" w:hAnsi="宋体"/>
          <w:snapToGrid w:val="0"/>
          <w:color w:val="auto"/>
          <w:kern w:val="0"/>
          <w:szCs w:val="21"/>
          <w:highlight w:val="none"/>
        </w:rPr>
        <w:t>款规定的投标有效期内，且未有投标人的异议与投诉，</w:t>
      </w:r>
      <w:r>
        <w:rPr>
          <w:rFonts w:hint="eastAsia" w:ascii="宋体" w:hAnsi="宋体" w:cs="MingLiU"/>
          <w:snapToGrid w:val="0"/>
          <w:color w:val="auto"/>
          <w:kern w:val="0"/>
          <w:szCs w:val="21"/>
          <w:highlight w:val="none"/>
        </w:rPr>
        <w:t>比选</w:t>
      </w:r>
      <w:r>
        <w:rPr>
          <w:rFonts w:hint="eastAsia" w:ascii="宋体" w:hAnsi="宋体"/>
          <w:snapToGrid w:val="0"/>
          <w:color w:val="auto"/>
          <w:kern w:val="0"/>
          <w:szCs w:val="21"/>
          <w:highlight w:val="none"/>
        </w:rPr>
        <w:t>人以书面形式向中标人发出中标通知书。</w:t>
      </w:r>
    </w:p>
    <w:p w14:paraId="366BD935">
      <w:pPr>
        <w:autoSpaceDE w:val="0"/>
        <w:autoSpaceDN w:val="0"/>
        <w:adjustRightInd w:val="0"/>
        <w:snapToGrid w:val="0"/>
        <w:spacing w:line="320" w:lineRule="exact"/>
        <w:jc w:val="left"/>
        <w:rPr>
          <w:rFonts w:ascii="宋体" w:hAnsi="宋体"/>
          <w:b/>
          <w:snapToGrid w:val="0"/>
          <w:color w:val="auto"/>
          <w:kern w:val="0"/>
          <w:highlight w:val="none"/>
        </w:rPr>
      </w:pPr>
      <w:bookmarkStart w:id="357" w:name="_Toc452058721"/>
      <w:r>
        <w:rPr>
          <w:rFonts w:ascii="宋体" w:hAnsi="宋体"/>
          <w:b/>
          <w:snapToGrid w:val="0"/>
          <w:color w:val="auto"/>
          <w:kern w:val="0"/>
          <w:highlight w:val="none"/>
        </w:rPr>
        <w:t xml:space="preserve">7.3  </w:t>
      </w:r>
      <w:r>
        <w:rPr>
          <w:rFonts w:hint="eastAsia" w:ascii="宋体" w:hAnsi="宋体"/>
          <w:b/>
          <w:snapToGrid w:val="0"/>
          <w:color w:val="auto"/>
          <w:kern w:val="0"/>
          <w:highlight w:val="none"/>
        </w:rPr>
        <w:t>履约</w:t>
      </w:r>
      <w:bookmarkEnd w:id="350"/>
      <w:bookmarkEnd w:id="351"/>
      <w:bookmarkEnd w:id="352"/>
      <w:bookmarkEnd w:id="353"/>
      <w:bookmarkEnd w:id="354"/>
      <w:bookmarkEnd w:id="355"/>
      <w:bookmarkEnd w:id="356"/>
      <w:r>
        <w:rPr>
          <w:rFonts w:hint="eastAsia" w:ascii="宋体" w:hAnsi="宋体"/>
          <w:b/>
          <w:snapToGrid w:val="0"/>
          <w:color w:val="auto"/>
          <w:kern w:val="0"/>
          <w:highlight w:val="none"/>
        </w:rPr>
        <w:t>保证金</w:t>
      </w:r>
      <w:bookmarkEnd w:id="357"/>
    </w:p>
    <w:p w14:paraId="63889EF0">
      <w:pPr>
        <w:autoSpaceDE w:val="0"/>
        <w:autoSpaceDN w:val="0"/>
        <w:adjustRightInd w:val="0"/>
        <w:snapToGrid w:val="0"/>
        <w:spacing w:line="320" w:lineRule="exact"/>
        <w:ind w:firstLine="420"/>
        <w:rPr>
          <w:color w:val="auto"/>
          <w:highlight w:val="none"/>
        </w:rPr>
      </w:pPr>
      <w:bookmarkStart w:id="358" w:name="_Toc287620727"/>
      <w:bookmarkStart w:id="359" w:name="_Toc15530"/>
      <w:bookmarkStart w:id="360" w:name="_Toc287607788"/>
      <w:bookmarkStart w:id="361" w:name="_Toc224103359"/>
      <w:bookmarkStart w:id="362" w:name="_Toc277082594"/>
      <w:bookmarkStart w:id="363" w:name="_Toc386029687"/>
      <w:bookmarkStart w:id="364" w:name="_Toc200513168"/>
      <w:r>
        <w:rPr>
          <w:rFonts w:hint="eastAsia"/>
          <w:color w:val="auto"/>
          <w:highlight w:val="none"/>
        </w:rPr>
        <w:t>7.3.1中标人应在收到中标通知书后</w:t>
      </w:r>
      <w:r>
        <w:rPr>
          <w:rFonts w:hint="eastAsia"/>
          <w:b/>
          <w:bCs/>
          <w:color w:val="auto"/>
          <w:highlight w:val="none"/>
          <w:lang w:val="en-US" w:eastAsia="zh-CN"/>
        </w:rPr>
        <w:t>10个工作</w:t>
      </w:r>
      <w:r>
        <w:rPr>
          <w:rFonts w:hint="eastAsia"/>
          <w:b/>
          <w:bCs/>
          <w:color w:val="auto"/>
          <w:highlight w:val="none"/>
        </w:rPr>
        <w:t>日内</w:t>
      </w:r>
      <w:r>
        <w:rPr>
          <w:rFonts w:hint="eastAsia"/>
          <w:color w:val="auto"/>
          <w:highlight w:val="none"/>
        </w:rPr>
        <w:t>，施工合同签订前按照比选人指定方式提交履约保证金。</w:t>
      </w:r>
    </w:p>
    <w:p w14:paraId="494A7FD6">
      <w:pPr>
        <w:autoSpaceDE w:val="0"/>
        <w:autoSpaceDN w:val="0"/>
        <w:adjustRightInd w:val="0"/>
        <w:snapToGrid w:val="0"/>
        <w:spacing w:line="32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7.3.2  中标人不能按本章第 7.3.1 项要求提交履约保证金，视为放弃中标，其投标保证金不予退还，给比选人造成的损失超过投标保证金数额的，中标人还应当对超过部分予以赔偿。</w:t>
      </w:r>
    </w:p>
    <w:p w14:paraId="43EE1307">
      <w:pPr>
        <w:autoSpaceDE w:val="0"/>
        <w:autoSpaceDN w:val="0"/>
        <w:adjustRightInd w:val="0"/>
        <w:snapToGrid w:val="0"/>
        <w:spacing w:line="320" w:lineRule="exact"/>
        <w:jc w:val="left"/>
        <w:rPr>
          <w:rFonts w:ascii="宋体" w:hAnsi="宋体"/>
          <w:b/>
          <w:snapToGrid w:val="0"/>
          <w:color w:val="auto"/>
          <w:kern w:val="0"/>
          <w:highlight w:val="none"/>
        </w:rPr>
      </w:pPr>
      <w:bookmarkStart w:id="365" w:name="_Toc452058722"/>
      <w:r>
        <w:rPr>
          <w:rFonts w:ascii="宋体" w:hAnsi="宋体"/>
          <w:b/>
          <w:snapToGrid w:val="0"/>
          <w:color w:val="auto"/>
          <w:kern w:val="0"/>
          <w:highlight w:val="none"/>
        </w:rPr>
        <w:t xml:space="preserve">7.4  </w:t>
      </w:r>
      <w:r>
        <w:rPr>
          <w:rFonts w:hint="eastAsia" w:ascii="宋体" w:hAnsi="宋体"/>
          <w:b/>
          <w:snapToGrid w:val="0"/>
          <w:color w:val="auto"/>
          <w:kern w:val="0"/>
          <w:highlight w:val="none"/>
        </w:rPr>
        <w:t>签订合同</w:t>
      </w:r>
      <w:bookmarkEnd w:id="358"/>
      <w:bookmarkEnd w:id="359"/>
      <w:bookmarkEnd w:id="360"/>
      <w:bookmarkEnd w:id="361"/>
      <w:bookmarkEnd w:id="362"/>
      <w:bookmarkEnd w:id="363"/>
      <w:bookmarkEnd w:id="364"/>
      <w:bookmarkEnd w:id="365"/>
    </w:p>
    <w:p w14:paraId="24CB0848">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366" w:name="_Toc16683"/>
      <w:bookmarkStart w:id="367" w:name="_Toc28937"/>
      <w:bookmarkStart w:id="368" w:name="_Toc224103360"/>
      <w:bookmarkStart w:id="369" w:name="_Toc277082595"/>
      <w:bookmarkStart w:id="370" w:name="_Toc287607789"/>
      <w:bookmarkStart w:id="371" w:name="_Toc200513169"/>
      <w:bookmarkStart w:id="372" w:name="_Toc386029688"/>
      <w:r>
        <w:rPr>
          <w:rFonts w:ascii="宋体" w:hAnsi="宋体"/>
          <w:snapToGrid w:val="0"/>
          <w:color w:val="auto"/>
          <w:kern w:val="0"/>
          <w:szCs w:val="21"/>
          <w:highlight w:val="none"/>
        </w:rPr>
        <w:t xml:space="preserve">7.4.1 </w:t>
      </w:r>
      <w:r>
        <w:rPr>
          <w:rFonts w:hint="eastAsia" w:ascii="宋体" w:hAnsi="宋体" w:cs="MingLiU"/>
          <w:snapToGrid w:val="0"/>
          <w:color w:val="auto"/>
          <w:kern w:val="0"/>
          <w:szCs w:val="21"/>
          <w:highlight w:val="none"/>
        </w:rPr>
        <w:t>比选人和中标人应当自中标通知书发出之日起</w:t>
      </w:r>
      <w:r>
        <w:rPr>
          <w:rFonts w:hint="eastAsia" w:ascii="黑体" w:hAnsi="黑体" w:eastAsia="黑体"/>
          <w:b/>
          <w:snapToGrid w:val="0"/>
          <w:color w:val="auto"/>
          <w:kern w:val="0"/>
          <w:szCs w:val="21"/>
          <w:highlight w:val="none"/>
        </w:rPr>
        <w:t>10</w:t>
      </w:r>
      <w:r>
        <w:rPr>
          <w:rFonts w:hint="eastAsia" w:ascii="黑体" w:hAnsi="黑体" w:eastAsia="黑体"/>
          <w:b/>
          <w:snapToGrid w:val="0"/>
          <w:color w:val="auto"/>
          <w:kern w:val="0"/>
          <w:szCs w:val="21"/>
          <w:highlight w:val="none"/>
          <w:lang w:val="en-US" w:eastAsia="zh-CN"/>
        </w:rPr>
        <w:t>个工作</w:t>
      </w:r>
      <w:r>
        <w:rPr>
          <w:rFonts w:hint="eastAsia" w:ascii="黑体" w:hAnsi="黑体" w:eastAsia="黑体"/>
          <w:b/>
          <w:snapToGrid w:val="0"/>
          <w:color w:val="auto"/>
          <w:kern w:val="0"/>
          <w:szCs w:val="21"/>
          <w:highlight w:val="none"/>
        </w:rPr>
        <w:t>日</w:t>
      </w:r>
      <w:r>
        <w:rPr>
          <w:rFonts w:hint="eastAsia" w:ascii="黑体" w:hAnsi="黑体" w:eastAsia="黑体" w:cs="MingLiU"/>
          <w:b/>
          <w:snapToGrid w:val="0"/>
          <w:color w:val="auto"/>
          <w:kern w:val="0"/>
          <w:szCs w:val="21"/>
          <w:highlight w:val="none"/>
        </w:rPr>
        <w:t>内</w:t>
      </w:r>
      <w:r>
        <w:rPr>
          <w:rFonts w:hint="eastAsia" w:ascii="宋体" w:hAnsi="宋体" w:cs="MingLiU"/>
          <w:snapToGrid w:val="0"/>
          <w:color w:val="auto"/>
          <w:kern w:val="0"/>
          <w:szCs w:val="21"/>
          <w:highlight w:val="none"/>
        </w:rPr>
        <w:t>，根据比选文件和中标人的投标文件订立书面合同。中标人无正当理由拒签合同的，比选人取消其中标资格，其投标保证金不予退还；给比选人造成的损失超过投标保证金数额的，中标人还应当对超过部分予以赔偿。</w:t>
      </w:r>
    </w:p>
    <w:p w14:paraId="14DDF86E">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7.4.2  </w:t>
      </w:r>
      <w:r>
        <w:rPr>
          <w:rFonts w:hint="eastAsia" w:ascii="宋体" w:hAnsi="宋体" w:cs="MingLiU"/>
          <w:snapToGrid w:val="0"/>
          <w:color w:val="auto"/>
          <w:kern w:val="0"/>
          <w:szCs w:val="21"/>
          <w:highlight w:val="none"/>
        </w:rPr>
        <w:t>发出中标通知书后，比选人无正当理由拒签合同的，比选人向中标人退还投标保证金；给中标人造成损失的，还应当赔偿损失。</w:t>
      </w:r>
    </w:p>
    <w:p w14:paraId="052A27DB">
      <w:pPr>
        <w:autoSpaceDE w:val="0"/>
        <w:autoSpaceDN w:val="0"/>
        <w:adjustRightInd w:val="0"/>
        <w:snapToGrid w:val="0"/>
        <w:spacing w:line="320" w:lineRule="exact"/>
        <w:jc w:val="left"/>
        <w:rPr>
          <w:rFonts w:ascii="宋体" w:hAnsi="宋体"/>
          <w:b/>
          <w:snapToGrid w:val="0"/>
          <w:color w:val="auto"/>
          <w:kern w:val="0"/>
          <w:highlight w:val="none"/>
        </w:rPr>
      </w:pPr>
      <w:bookmarkStart w:id="373" w:name="_Toc452058723"/>
      <w:r>
        <w:rPr>
          <w:rFonts w:ascii="宋体" w:hAnsi="宋体"/>
          <w:b/>
          <w:snapToGrid w:val="0"/>
          <w:color w:val="auto"/>
          <w:kern w:val="0"/>
          <w:highlight w:val="none"/>
        </w:rPr>
        <w:t xml:space="preserve">8.  </w:t>
      </w:r>
      <w:r>
        <w:rPr>
          <w:rFonts w:hint="eastAsia" w:ascii="宋体" w:hAnsi="宋体"/>
          <w:b/>
          <w:snapToGrid w:val="0"/>
          <w:color w:val="auto"/>
          <w:kern w:val="0"/>
          <w:highlight w:val="none"/>
        </w:rPr>
        <w:t>重新比选和不再</w:t>
      </w:r>
      <w:bookmarkEnd w:id="366"/>
      <w:bookmarkEnd w:id="367"/>
      <w:bookmarkEnd w:id="368"/>
      <w:bookmarkEnd w:id="369"/>
      <w:bookmarkEnd w:id="370"/>
      <w:bookmarkEnd w:id="371"/>
      <w:bookmarkEnd w:id="372"/>
      <w:bookmarkEnd w:id="373"/>
      <w:r>
        <w:rPr>
          <w:rFonts w:hint="eastAsia" w:ascii="宋体" w:hAnsi="宋体"/>
          <w:b/>
          <w:snapToGrid w:val="0"/>
          <w:color w:val="auto"/>
          <w:kern w:val="0"/>
          <w:highlight w:val="none"/>
        </w:rPr>
        <w:t>比选</w:t>
      </w:r>
    </w:p>
    <w:p w14:paraId="1E3E65C7">
      <w:pPr>
        <w:autoSpaceDE w:val="0"/>
        <w:autoSpaceDN w:val="0"/>
        <w:adjustRightInd w:val="0"/>
        <w:snapToGrid w:val="0"/>
        <w:spacing w:line="320" w:lineRule="exact"/>
        <w:jc w:val="left"/>
        <w:rPr>
          <w:rFonts w:ascii="宋体" w:hAnsi="宋体"/>
          <w:b/>
          <w:snapToGrid w:val="0"/>
          <w:color w:val="auto"/>
          <w:kern w:val="0"/>
          <w:highlight w:val="none"/>
        </w:rPr>
      </w:pPr>
      <w:bookmarkStart w:id="374" w:name="_Toc30995"/>
      <w:bookmarkStart w:id="375" w:name="_Toc452058724"/>
      <w:bookmarkStart w:id="376" w:name="_Toc287620729"/>
      <w:bookmarkStart w:id="377" w:name="_Toc224103361"/>
      <w:bookmarkStart w:id="378" w:name="_Toc386029689"/>
      <w:bookmarkStart w:id="379" w:name="_Toc277082596"/>
      <w:bookmarkStart w:id="380" w:name="_Toc287607790"/>
      <w:bookmarkStart w:id="381" w:name="_Toc200513170"/>
      <w:r>
        <w:rPr>
          <w:rFonts w:ascii="宋体" w:hAnsi="宋体"/>
          <w:b/>
          <w:snapToGrid w:val="0"/>
          <w:color w:val="auto"/>
          <w:kern w:val="0"/>
          <w:highlight w:val="none"/>
        </w:rPr>
        <w:t xml:space="preserve">8.1 </w:t>
      </w:r>
      <w:r>
        <w:rPr>
          <w:rFonts w:hint="eastAsia" w:ascii="宋体" w:hAnsi="宋体"/>
          <w:b/>
          <w:snapToGrid w:val="0"/>
          <w:color w:val="auto"/>
          <w:kern w:val="0"/>
          <w:highlight w:val="none"/>
        </w:rPr>
        <w:t>重新</w:t>
      </w:r>
      <w:bookmarkEnd w:id="374"/>
      <w:bookmarkEnd w:id="375"/>
      <w:bookmarkEnd w:id="376"/>
      <w:bookmarkEnd w:id="377"/>
      <w:bookmarkEnd w:id="378"/>
      <w:bookmarkEnd w:id="379"/>
      <w:bookmarkEnd w:id="380"/>
      <w:bookmarkEnd w:id="381"/>
      <w:r>
        <w:rPr>
          <w:rFonts w:hint="eastAsia" w:ascii="宋体" w:hAnsi="宋体"/>
          <w:b/>
          <w:snapToGrid w:val="0"/>
          <w:color w:val="auto"/>
          <w:kern w:val="0"/>
          <w:highlight w:val="none"/>
        </w:rPr>
        <w:t>比选</w:t>
      </w:r>
    </w:p>
    <w:p w14:paraId="34B9EBA6">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有下列情形之一的，比选人将重新比选：</w:t>
      </w:r>
    </w:p>
    <w:p w14:paraId="14D23E4F">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（1）投标截止时间止，投标人少于 3 个的；</w:t>
      </w:r>
    </w:p>
    <w:p w14:paraId="0D942B85">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（2）经评标委员会评审后否决所有投标的；</w:t>
      </w:r>
    </w:p>
    <w:p w14:paraId="1C879D05">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（3）经评审后，如合格的投标人少于三个的，且明显缺乏竞争的，评标委员会可以否决全部投标，比选人将重新组织比选。</w:t>
      </w:r>
    </w:p>
    <w:p w14:paraId="33DE3CB3">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（4）法律法规规定的其他情形。</w:t>
      </w:r>
    </w:p>
    <w:p w14:paraId="5052C3C5">
      <w:pPr>
        <w:autoSpaceDE w:val="0"/>
        <w:autoSpaceDN w:val="0"/>
        <w:adjustRightInd w:val="0"/>
        <w:snapToGrid w:val="0"/>
        <w:spacing w:line="320" w:lineRule="exact"/>
        <w:jc w:val="left"/>
        <w:rPr>
          <w:rFonts w:ascii="宋体" w:hAnsi="宋体"/>
          <w:b/>
          <w:snapToGrid w:val="0"/>
          <w:color w:val="auto"/>
          <w:kern w:val="0"/>
          <w:highlight w:val="none"/>
        </w:rPr>
      </w:pPr>
      <w:bookmarkStart w:id="382" w:name="_Toc224103362"/>
      <w:bookmarkStart w:id="383" w:name="_Toc287607791"/>
      <w:bookmarkStart w:id="384" w:name="_Toc277082597"/>
      <w:bookmarkStart w:id="385" w:name="_Toc200513171"/>
      <w:bookmarkStart w:id="386" w:name="_Toc21171"/>
      <w:bookmarkStart w:id="387" w:name="_Toc452058725"/>
      <w:bookmarkStart w:id="388" w:name="_Toc386029690"/>
      <w:bookmarkStart w:id="389" w:name="_Toc287620730"/>
      <w:r>
        <w:rPr>
          <w:rFonts w:ascii="宋体" w:hAnsi="宋体"/>
          <w:b/>
          <w:snapToGrid w:val="0"/>
          <w:color w:val="auto"/>
          <w:kern w:val="0"/>
          <w:highlight w:val="none"/>
        </w:rPr>
        <w:t xml:space="preserve">8.2 </w:t>
      </w:r>
      <w:r>
        <w:rPr>
          <w:rFonts w:hint="eastAsia" w:ascii="宋体" w:hAnsi="宋体"/>
          <w:b/>
          <w:snapToGrid w:val="0"/>
          <w:color w:val="auto"/>
          <w:kern w:val="0"/>
          <w:highlight w:val="none"/>
        </w:rPr>
        <w:t>二次比选和不再</w:t>
      </w:r>
      <w:bookmarkEnd w:id="382"/>
      <w:bookmarkEnd w:id="383"/>
      <w:bookmarkEnd w:id="384"/>
      <w:bookmarkEnd w:id="385"/>
      <w:bookmarkEnd w:id="386"/>
      <w:bookmarkEnd w:id="387"/>
      <w:bookmarkEnd w:id="388"/>
      <w:bookmarkEnd w:id="389"/>
      <w:r>
        <w:rPr>
          <w:rFonts w:hint="eastAsia" w:ascii="宋体" w:hAnsi="宋体"/>
          <w:b/>
          <w:snapToGrid w:val="0"/>
          <w:color w:val="auto"/>
          <w:kern w:val="0"/>
          <w:highlight w:val="none"/>
        </w:rPr>
        <w:t>比选</w:t>
      </w:r>
    </w:p>
    <w:p w14:paraId="69D75DC9">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390" w:name="_Toc200513172"/>
      <w:bookmarkStart w:id="391" w:name="_Toc287607792"/>
      <w:bookmarkStart w:id="392" w:name="_Toc15649"/>
      <w:bookmarkStart w:id="393" w:name="_Toc386029691"/>
      <w:bookmarkStart w:id="394" w:name="_Toc224103363"/>
      <w:bookmarkStart w:id="395" w:name="_Toc3340"/>
      <w:bookmarkStart w:id="396" w:name="_Toc277082598"/>
      <w:r>
        <w:rPr>
          <w:rFonts w:hint="eastAsia" w:ascii="宋体" w:hAnsi="宋体" w:cs="MingLiU"/>
          <w:snapToGrid w:val="0"/>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p w14:paraId="4F8ECED8">
      <w:pPr>
        <w:autoSpaceDE w:val="0"/>
        <w:autoSpaceDN w:val="0"/>
        <w:adjustRightInd w:val="0"/>
        <w:snapToGrid w:val="0"/>
        <w:spacing w:line="320" w:lineRule="exact"/>
        <w:jc w:val="left"/>
        <w:rPr>
          <w:rFonts w:ascii="宋体" w:hAnsi="宋体"/>
          <w:b/>
          <w:snapToGrid w:val="0"/>
          <w:color w:val="auto"/>
          <w:kern w:val="0"/>
          <w:highlight w:val="none"/>
        </w:rPr>
      </w:pPr>
      <w:r>
        <w:rPr>
          <w:rFonts w:ascii="宋体" w:hAnsi="宋体"/>
          <w:b/>
          <w:snapToGrid w:val="0"/>
          <w:color w:val="auto"/>
          <w:kern w:val="0"/>
          <w:highlight w:val="none"/>
        </w:rPr>
        <w:t xml:space="preserve">9.  </w:t>
      </w:r>
      <w:r>
        <w:rPr>
          <w:rFonts w:hint="eastAsia" w:ascii="宋体" w:hAnsi="宋体"/>
          <w:b/>
          <w:snapToGrid w:val="0"/>
          <w:color w:val="auto"/>
          <w:kern w:val="0"/>
          <w:highlight w:val="none"/>
        </w:rPr>
        <w:t>纪律和监督</w:t>
      </w:r>
      <w:bookmarkEnd w:id="390"/>
      <w:bookmarkEnd w:id="391"/>
      <w:bookmarkEnd w:id="392"/>
      <w:bookmarkEnd w:id="393"/>
      <w:bookmarkEnd w:id="394"/>
      <w:bookmarkEnd w:id="395"/>
      <w:bookmarkEnd w:id="396"/>
    </w:p>
    <w:p w14:paraId="75B1E656">
      <w:pPr>
        <w:autoSpaceDE w:val="0"/>
        <w:autoSpaceDN w:val="0"/>
        <w:adjustRightInd w:val="0"/>
        <w:snapToGrid w:val="0"/>
        <w:spacing w:line="320" w:lineRule="exact"/>
        <w:jc w:val="left"/>
        <w:rPr>
          <w:rFonts w:ascii="宋体" w:hAnsi="宋体"/>
          <w:b/>
          <w:snapToGrid w:val="0"/>
          <w:color w:val="auto"/>
          <w:kern w:val="0"/>
          <w:highlight w:val="none"/>
        </w:rPr>
      </w:pPr>
      <w:bookmarkStart w:id="397" w:name="_Toc224103364"/>
      <w:bookmarkStart w:id="398" w:name="_Toc386029692"/>
      <w:bookmarkStart w:id="399" w:name="_Toc29442"/>
      <w:bookmarkStart w:id="400" w:name="_Toc200513173"/>
      <w:bookmarkStart w:id="401" w:name="_Toc452058726"/>
      <w:bookmarkStart w:id="402" w:name="_Toc287607793"/>
      <w:bookmarkStart w:id="403" w:name="_Toc277082599"/>
      <w:bookmarkStart w:id="404" w:name="_Toc287620732"/>
      <w:r>
        <w:rPr>
          <w:rFonts w:ascii="宋体" w:hAnsi="宋体"/>
          <w:b/>
          <w:snapToGrid w:val="0"/>
          <w:color w:val="auto"/>
          <w:kern w:val="0"/>
          <w:highlight w:val="none"/>
        </w:rPr>
        <w:t xml:space="preserve">9.1 </w:t>
      </w:r>
      <w:r>
        <w:rPr>
          <w:rFonts w:hint="eastAsia" w:ascii="宋体" w:hAnsi="宋体"/>
          <w:b/>
          <w:snapToGrid w:val="0"/>
          <w:color w:val="auto"/>
          <w:kern w:val="0"/>
          <w:highlight w:val="none"/>
        </w:rPr>
        <w:t>对比选人的纪律要求</w:t>
      </w:r>
      <w:bookmarkEnd w:id="397"/>
      <w:bookmarkEnd w:id="398"/>
      <w:bookmarkEnd w:id="399"/>
      <w:bookmarkEnd w:id="400"/>
      <w:bookmarkEnd w:id="401"/>
      <w:bookmarkEnd w:id="402"/>
      <w:bookmarkEnd w:id="403"/>
      <w:bookmarkEnd w:id="404"/>
    </w:p>
    <w:p w14:paraId="2FD3B58E">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比选人不得泄漏招标投标活动中应当保密的情况和资料，不得与投标人串通损害国家利益、社会公共利益或者他人合法权益，</w:t>
      </w:r>
      <w:r>
        <w:rPr>
          <w:rFonts w:hint="eastAsia"/>
          <w:color w:val="auto"/>
          <w:highlight w:val="none"/>
        </w:rPr>
        <w:t>禁止</w:t>
      </w:r>
      <w:r>
        <w:rPr>
          <w:rFonts w:hint="eastAsia" w:ascii="宋体" w:hAnsi="宋体" w:cs="MingLiU"/>
          <w:snapToGrid w:val="0"/>
          <w:color w:val="auto"/>
          <w:kern w:val="0"/>
          <w:szCs w:val="21"/>
          <w:highlight w:val="none"/>
        </w:rPr>
        <w:t>比选</w:t>
      </w:r>
      <w:r>
        <w:rPr>
          <w:rFonts w:hint="eastAsia"/>
          <w:color w:val="auto"/>
          <w:highlight w:val="none"/>
        </w:rPr>
        <w:t>人与投标人串通投标。</w:t>
      </w:r>
      <w:r>
        <w:rPr>
          <w:rFonts w:hint="eastAsia"/>
          <w:color w:val="auto"/>
          <w:highlight w:val="none"/>
        </w:rPr>
        <w:br w:type="textWrapping"/>
      </w:r>
      <w:r>
        <w:rPr>
          <w:rFonts w:hint="eastAsia"/>
          <w:color w:val="auto"/>
          <w:highlight w:val="none"/>
        </w:rPr>
        <w:t>     有下列情形之一的，属于</w:t>
      </w:r>
      <w:r>
        <w:rPr>
          <w:rFonts w:hint="eastAsia" w:ascii="宋体" w:hAnsi="宋体" w:cs="MingLiU"/>
          <w:snapToGrid w:val="0"/>
          <w:color w:val="auto"/>
          <w:kern w:val="0"/>
          <w:szCs w:val="21"/>
          <w:highlight w:val="none"/>
        </w:rPr>
        <w:t>比选</w:t>
      </w:r>
      <w:r>
        <w:rPr>
          <w:rFonts w:hint="eastAsia"/>
          <w:color w:val="auto"/>
          <w:highlight w:val="none"/>
        </w:rPr>
        <w:t>人与投标人串通投标：</w:t>
      </w:r>
      <w:r>
        <w:rPr>
          <w:rFonts w:hint="eastAsia"/>
          <w:color w:val="auto"/>
          <w:highlight w:val="none"/>
        </w:rPr>
        <w:br w:type="textWrapping"/>
      </w:r>
      <w:r>
        <w:rPr>
          <w:rFonts w:hint="eastAsia"/>
          <w:color w:val="auto"/>
          <w:highlight w:val="none"/>
        </w:rPr>
        <w:t>    （1）</w:t>
      </w:r>
      <w:r>
        <w:rPr>
          <w:rFonts w:hint="eastAsia" w:ascii="宋体" w:hAnsi="宋体" w:cs="MingLiU"/>
          <w:snapToGrid w:val="0"/>
          <w:color w:val="auto"/>
          <w:kern w:val="0"/>
          <w:szCs w:val="21"/>
          <w:highlight w:val="none"/>
        </w:rPr>
        <w:t>比选</w:t>
      </w:r>
      <w:r>
        <w:rPr>
          <w:rFonts w:hint="eastAsia"/>
          <w:color w:val="auto"/>
          <w:highlight w:val="none"/>
        </w:rPr>
        <w:t>人在开标前开启投标文件并将有关信息泄露给其他投标人;</w:t>
      </w:r>
      <w:r>
        <w:rPr>
          <w:rFonts w:hint="eastAsia"/>
          <w:color w:val="auto"/>
          <w:highlight w:val="none"/>
        </w:rPr>
        <w:br w:type="textWrapping"/>
      </w:r>
      <w:r>
        <w:rPr>
          <w:rFonts w:hint="eastAsia"/>
          <w:color w:val="auto"/>
          <w:highlight w:val="none"/>
        </w:rPr>
        <w:t>    （2）</w:t>
      </w:r>
      <w:r>
        <w:rPr>
          <w:rFonts w:hint="eastAsia" w:ascii="宋体" w:hAnsi="宋体" w:cs="MingLiU"/>
          <w:snapToGrid w:val="0"/>
          <w:color w:val="auto"/>
          <w:kern w:val="0"/>
          <w:szCs w:val="21"/>
          <w:highlight w:val="none"/>
        </w:rPr>
        <w:t>比选</w:t>
      </w:r>
      <w:r>
        <w:rPr>
          <w:rFonts w:hint="eastAsia"/>
          <w:color w:val="auto"/>
          <w:highlight w:val="none"/>
        </w:rPr>
        <w:t>人直接或者间接向投标人泄露标底、评标委员会成员等信息；</w:t>
      </w:r>
      <w:r>
        <w:rPr>
          <w:rFonts w:hint="eastAsia"/>
          <w:color w:val="auto"/>
          <w:highlight w:val="none"/>
        </w:rPr>
        <w:br w:type="textWrapping"/>
      </w:r>
      <w:r>
        <w:rPr>
          <w:rFonts w:hint="eastAsia"/>
          <w:color w:val="auto"/>
          <w:highlight w:val="none"/>
        </w:rPr>
        <w:t>    （3）</w:t>
      </w:r>
      <w:r>
        <w:rPr>
          <w:rFonts w:hint="eastAsia" w:ascii="宋体" w:hAnsi="宋体" w:cs="MingLiU"/>
          <w:snapToGrid w:val="0"/>
          <w:color w:val="auto"/>
          <w:kern w:val="0"/>
          <w:szCs w:val="21"/>
          <w:highlight w:val="none"/>
        </w:rPr>
        <w:t>比选</w:t>
      </w:r>
      <w:r>
        <w:rPr>
          <w:rFonts w:hint="eastAsia"/>
          <w:color w:val="auto"/>
          <w:highlight w:val="none"/>
        </w:rPr>
        <w:t>人明示或者暗示投标人压低或者抬高投标报价；</w:t>
      </w:r>
      <w:r>
        <w:rPr>
          <w:rFonts w:hint="eastAsia"/>
          <w:color w:val="auto"/>
          <w:highlight w:val="none"/>
        </w:rPr>
        <w:br w:type="textWrapping"/>
      </w:r>
      <w:r>
        <w:rPr>
          <w:rFonts w:hint="eastAsia"/>
          <w:color w:val="auto"/>
          <w:highlight w:val="none"/>
        </w:rPr>
        <w:t>    （4）</w:t>
      </w:r>
      <w:r>
        <w:rPr>
          <w:rFonts w:hint="eastAsia" w:ascii="宋体" w:hAnsi="宋体" w:cs="MingLiU"/>
          <w:snapToGrid w:val="0"/>
          <w:color w:val="auto"/>
          <w:kern w:val="0"/>
          <w:szCs w:val="21"/>
          <w:highlight w:val="none"/>
        </w:rPr>
        <w:t>比选</w:t>
      </w:r>
      <w:r>
        <w:rPr>
          <w:rFonts w:hint="eastAsia"/>
          <w:color w:val="auto"/>
          <w:highlight w:val="none"/>
        </w:rPr>
        <w:t>人授意投标人撤换、修改投标文件；</w:t>
      </w:r>
      <w:r>
        <w:rPr>
          <w:rFonts w:hint="eastAsia"/>
          <w:color w:val="auto"/>
          <w:highlight w:val="none"/>
        </w:rPr>
        <w:br w:type="textWrapping"/>
      </w:r>
      <w:r>
        <w:rPr>
          <w:rFonts w:hint="eastAsia"/>
          <w:color w:val="auto"/>
          <w:highlight w:val="none"/>
        </w:rPr>
        <w:t>    （5）</w:t>
      </w:r>
      <w:r>
        <w:rPr>
          <w:rFonts w:hint="eastAsia" w:ascii="宋体" w:hAnsi="宋体" w:cs="MingLiU"/>
          <w:snapToGrid w:val="0"/>
          <w:color w:val="auto"/>
          <w:kern w:val="0"/>
          <w:szCs w:val="21"/>
          <w:highlight w:val="none"/>
        </w:rPr>
        <w:t>比选</w:t>
      </w:r>
      <w:r>
        <w:rPr>
          <w:rFonts w:hint="eastAsia"/>
          <w:color w:val="auto"/>
          <w:highlight w:val="none"/>
        </w:rPr>
        <w:t>人明示或者暗示投标人为特定投标人中标提供方便；</w:t>
      </w:r>
      <w:r>
        <w:rPr>
          <w:rFonts w:hint="eastAsia"/>
          <w:color w:val="auto"/>
          <w:highlight w:val="none"/>
        </w:rPr>
        <w:br w:type="textWrapping"/>
      </w:r>
      <w:r>
        <w:rPr>
          <w:rFonts w:hint="eastAsia"/>
          <w:color w:val="auto"/>
          <w:highlight w:val="none"/>
        </w:rPr>
        <w:t>    （6）</w:t>
      </w:r>
      <w:r>
        <w:rPr>
          <w:rFonts w:hint="eastAsia" w:ascii="宋体" w:hAnsi="宋体" w:cs="MingLiU"/>
          <w:snapToGrid w:val="0"/>
          <w:color w:val="auto"/>
          <w:kern w:val="0"/>
          <w:szCs w:val="21"/>
          <w:highlight w:val="none"/>
        </w:rPr>
        <w:t>比选</w:t>
      </w:r>
      <w:r>
        <w:rPr>
          <w:rFonts w:hint="eastAsia"/>
          <w:color w:val="auto"/>
          <w:highlight w:val="none"/>
        </w:rPr>
        <w:t>人与投标人为谋求特定投标人中标而采取的其他串通行为。</w:t>
      </w:r>
    </w:p>
    <w:p w14:paraId="0E52D4C7">
      <w:pPr>
        <w:autoSpaceDE w:val="0"/>
        <w:autoSpaceDN w:val="0"/>
        <w:adjustRightInd w:val="0"/>
        <w:snapToGrid w:val="0"/>
        <w:spacing w:line="320" w:lineRule="exact"/>
        <w:jc w:val="left"/>
        <w:rPr>
          <w:rFonts w:ascii="宋体" w:hAnsi="宋体"/>
          <w:b/>
          <w:snapToGrid w:val="0"/>
          <w:color w:val="auto"/>
          <w:kern w:val="0"/>
          <w:highlight w:val="none"/>
        </w:rPr>
      </w:pPr>
      <w:bookmarkStart w:id="405" w:name="_Toc287620733"/>
      <w:bookmarkStart w:id="406" w:name="_Toc277082600"/>
      <w:bookmarkStart w:id="407" w:name="_Toc386029693"/>
      <w:bookmarkStart w:id="408" w:name="_Toc287607794"/>
      <w:bookmarkStart w:id="409" w:name="_Toc224103365"/>
      <w:bookmarkStart w:id="410" w:name="_Toc530"/>
      <w:bookmarkStart w:id="411" w:name="_Toc200513174"/>
      <w:bookmarkStart w:id="412" w:name="_Toc452058727"/>
      <w:r>
        <w:rPr>
          <w:rFonts w:ascii="宋体" w:hAnsi="宋体"/>
          <w:b/>
          <w:snapToGrid w:val="0"/>
          <w:color w:val="auto"/>
          <w:kern w:val="0"/>
          <w:highlight w:val="none"/>
        </w:rPr>
        <w:t xml:space="preserve">9.2  </w:t>
      </w:r>
      <w:r>
        <w:rPr>
          <w:rFonts w:hint="eastAsia" w:ascii="宋体" w:hAnsi="宋体"/>
          <w:b/>
          <w:snapToGrid w:val="0"/>
          <w:color w:val="auto"/>
          <w:kern w:val="0"/>
          <w:highlight w:val="none"/>
        </w:rPr>
        <w:t>对投标人的纪律要求</w:t>
      </w:r>
      <w:bookmarkEnd w:id="405"/>
      <w:bookmarkEnd w:id="406"/>
      <w:bookmarkEnd w:id="407"/>
      <w:bookmarkEnd w:id="408"/>
      <w:bookmarkEnd w:id="409"/>
      <w:bookmarkEnd w:id="410"/>
      <w:bookmarkEnd w:id="411"/>
      <w:bookmarkEnd w:id="412"/>
    </w:p>
    <w:p w14:paraId="412982FA">
      <w:pPr>
        <w:autoSpaceDE w:val="0"/>
        <w:autoSpaceDN w:val="0"/>
        <w:adjustRightInd w:val="0"/>
        <w:snapToGrid w:val="0"/>
        <w:spacing w:line="320" w:lineRule="exact"/>
        <w:ind w:firstLine="420"/>
        <w:jc w:val="left"/>
        <w:rPr>
          <w:color w:val="auto"/>
          <w:highlight w:val="none"/>
        </w:rPr>
      </w:pPr>
      <w:r>
        <w:rPr>
          <w:rFonts w:hint="eastAsia" w:ascii="宋体" w:hAnsi="宋体" w:cs="MingLiU"/>
          <w:snapToGrid w:val="0"/>
          <w:color w:val="auto"/>
          <w:kern w:val="0"/>
          <w:szCs w:val="21"/>
          <w:highlight w:val="none"/>
        </w:rPr>
        <w:t>投标人不得相互串通投标或者与</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串通投标，不得向</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color w:val="auto"/>
          <w:highlight w:val="none"/>
        </w:rPr>
        <w:br w:type="textWrapping"/>
      </w:r>
      <w:r>
        <w:rPr>
          <w:rFonts w:hint="eastAsia"/>
          <w:color w:val="auto"/>
          <w:highlight w:val="none"/>
        </w:rPr>
        <w:t>     有下列情形之一的，属于投标人相互串通投标：</w:t>
      </w:r>
      <w:r>
        <w:rPr>
          <w:rFonts w:hint="eastAsia"/>
          <w:color w:val="auto"/>
          <w:highlight w:val="none"/>
        </w:rPr>
        <w:br w:type="textWrapping"/>
      </w:r>
      <w:r>
        <w:rPr>
          <w:rFonts w:hint="eastAsia"/>
          <w:color w:val="auto"/>
          <w:highlight w:val="none"/>
        </w:rPr>
        <w:t>    （1）投标人之间协商投标报价等投标文件的实质性内容；</w:t>
      </w:r>
      <w:r>
        <w:rPr>
          <w:rFonts w:hint="eastAsia"/>
          <w:color w:val="auto"/>
          <w:highlight w:val="none"/>
        </w:rPr>
        <w:br w:type="textWrapping"/>
      </w:r>
      <w:r>
        <w:rPr>
          <w:rFonts w:hint="eastAsia"/>
          <w:color w:val="auto"/>
          <w:highlight w:val="none"/>
        </w:rPr>
        <w:t>    （2）投标人之间约定中标人；</w:t>
      </w:r>
      <w:r>
        <w:rPr>
          <w:rFonts w:hint="eastAsia"/>
          <w:color w:val="auto"/>
          <w:highlight w:val="none"/>
        </w:rPr>
        <w:br w:type="textWrapping"/>
      </w:r>
      <w:r>
        <w:rPr>
          <w:rFonts w:hint="eastAsia"/>
          <w:color w:val="auto"/>
          <w:highlight w:val="none"/>
        </w:rPr>
        <w:t>    （3）投标人之间约定部分投标人放弃投标或者中标；</w:t>
      </w:r>
      <w:r>
        <w:rPr>
          <w:rFonts w:hint="eastAsia"/>
          <w:color w:val="auto"/>
          <w:highlight w:val="none"/>
        </w:rPr>
        <w:br w:type="textWrapping"/>
      </w:r>
      <w:r>
        <w:rPr>
          <w:rFonts w:hint="eastAsia"/>
          <w:color w:val="auto"/>
          <w:highlight w:val="none"/>
        </w:rPr>
        <w:t>    （4）属于同一集团、协会、商会等组织成员的投标人按照该组织要求协同投标；</w:t>
      </w:r>
      <w:r>
        <w:rPr>
          <w:rFonts w:hint="eastAsia"/>
          <w:color w:val="auto"/>
          <w:highlight w:val="none"/>
        </w:rPr>
        <w:br w:type="textWrapping"/>
      </w:r>
      <w:r>
        <w:rPr>
          <w:rFonts w:hint="eastAsia"/>
          <w:color w:val="auto"/>
          <w:highlight w:val="none"/>
        </w:rPr>
        <w:t>    （5）投标人之间为谋取中标或者排斥特定投标人而采取的其他联合行动。</w:t>
      </w:r>
      <w:r>
        <w:rPr>
          <w:rFonts w:hint="eastAsia"/>
          <w:color w:val="auto"/>
          <w:highlight w:val="none"/>
        </w:rPr>
        <w:br w:type="textWrapping"/>
      </w:r>
      <w:r>
        <w:rPr>
          <w:rFonts w:hint="eastAsia"/>
          <w:color w:val="auto"/>
          <w:highlight w:val="none"/>
        </w:rPr>
        <w:t>    有下列情形之一的，视为投标人相互串通投标：</w:t>
      </w:r>
      <w:r>
        <w:rPr>
          <w:rFonts w:hint="eastAsia"/>
          <w:color w:val="auto"/>
          <w:highlight w:val="none"/>
        </w:rPr>
        <w:br w:type="textWrapping"/>
      </w:r>
      <w:r>
        <w:rPr>
          <w:rFonts w:hint="eastAsia"/>
          <w:color w:val="auto"/>
          <w:highlight w:val="none"/>
        </w:rPr>
        <w:t>    （1）不同投标人的投标文件由同一单位或者个人编制；</w:t>
      </w:r>
      <w:r>
        <w:rPr>
          <w:rFonts w:hint="eastAsia"/>
          <w:color w:val="auto"/>
          <w:highlight w:val="none"/>
        </w:rPr>
        <w:br w:type="textWrapping"/>
      </w:r>
      <w:r>
        <w:rPr>
          <w:rFonts w:hint="eastAsia"/>
          <w:color w:val="auto"/>
          <w:highlight w:val="none"/>
        </w:rPr>
        <w:t>    （2）不同投标人委托同一单位或者个人办理投标事宜；</w:t>
      </w:r>
      <w:r>
        <w:rPr>
          <w:rFonts w:hint="eastAsia"/>
          <w:color w:val="auto"/>
          <w:highlight w:val="none"/>
        </w:rPr>
        <w:br w:type="textWrapping"/>
      </w:r>
      <w:r>
        <w:rPr>
          <w:rFonts w:hint="eastAsia"/>
          <w:color w:val="auto"/>
          <w:highlight w:val="none"/>
        </w:rPr>
        <w:t>    （3）不同投标人的投标文件载明的项目管理成员为同一人；</w:t>
      </w:r>
      <w:r>
        <w:rPr>
          <w:rFonts w:hint="eastAsia"/>
          <w:color w:val="auto"/>
          <w:highlight w:val="none"/>
        </w:rPr>
        <w:br w:type="textWrapping"/>
      </w:r>
      <w:r>
        <w:rPr>
          <w:rFonts w:hint="eastAsia"/>
          <w:color w:val="auto"/>
          <w:highlight w:val="none"/>
        </w:rPr>
        <w:t>    （4）不同投标人的投标文件异常一致或者投标报价呈规律性差异；</w:t>
      </w:r>
      <w:r>
        <w:rPr>
          <w:rFonts w:hint="eastAsia"/>
          <w:color w:val="auto"/>
          <w:highlight w:val="none"/>
        </w:rPr>
        <w:br w:type="textWrapping"/>
      </w:r>
      <w:r>
        <w:rPr>
          <w:rFonts w:hint="eastAsia"/>
          <w:color w:val="auto"/>
          <w:highlight w:val="none"/>
        </w:rPr>
        <w:t>    （5）不同投标人的投标文件相互混装；</w:t>
      </w:r>
      <w:r>
        <w:rPr>
          <w:rFonts w:hint="eastAsia"/>
          <w:color w:val="auto"/>
          <w:highlight w:val="none"/>
        </w:rPr>
        <w:br w:type="textWrapping"/>
      </w:r>
      <w:r>
        <w:rPr>
          <w:rFonts w:hint="eastAsia"/>
          <w:color w:val="auto"/>
          <w:highlight w:val="none"/>
        </w:rPr>
        <w:t>    （6）不同投标人的投标保证金从同一单位或者个人的账户转出。</w:t>
      </w:r>
    </w:p>
    <w:p w14:paraId="1FB21062">
      <w:pPr>
        <w:autoSpaceDE w:val="0"/>
        <w:autoSpaceDN w:val="0"/>
        <w:adjustRightInd w:val="0"/>
        <w:snapToGrid w:val="0"/>
        <w:spacing w:line="320" w:lineRule="exact"/>
        <w:ind w:firstLine="315" w:firstLineChars="150"/>
        <w:jc w:val="left"/>
        <w:rPr>
          <w:rFonts w:ascii="宋体" w:hAnsi="宋体" w:cs="MingLiU"/>
          <w:snapToGrid w:val="0"/>
          <w:color w:val="auto"/>
          <w:kern w:val="0"/>
          <w:szCs w:val="21"/>
          <w:highlight w:val="none"/>
        </w:rPr>
      </w:pPr>
      <w:r>
        <w:rPr>
          <w:rFonts w:hint="eastAsia"/>
          <w:color w:val="auto"/>
          <w:highlight w:val="none"/>
        </w:rPr>
        <w:t>使用通过受让或者租借等方式获取的资格、资质证书投标的，属于以他人名义投标。</w:t>
      </w:r>
      <w:r>
        <w:rPr>
          <w:rFonts w:hint="eastAsia"/>
          <w:color w:val="auto"/>
          <w:highlight w:val="none"/>
        </w:rPr>
        <w:br w:type="textWrapping"/>
      </w:r>
      <w:r>
        <w:rPr>
          <w:rFonts w:hint="eastAsia"/>
          <w:color w:val="auto"/>
          <w:highlight w:val="none"/>
        </w:rPr>
        <w:t>     投标人有下列情形之一的，属于以其他方式弄虚作假的行为：</w:t>
      </w:r>
      <w:r>
        <w:rPr>
          <w:rFonts w:hint="eastAsia"/>
          <w:color w:val="auto"/>
          <w:highlight w:val="none"/>
        </w:rPr>
        <w:br w:type="textWrapping"/>
      </w:r>
      <w:r>
        <w:rPr>
          <w:rFonts w:hint="eastAsia"/>
          <w:color w:val="auto"/>
          <w:highlight w:val="none"/>
        </w:rPr>
        <w:t>    （1）使用伪造、变造的许可证件；</w:t>
      </w:r>
      <w:r>
        <w:rPr>
          <w:rFonts w:hint="eastAsia"/>
          <w:color w:val="auto"/>
          <w:highlight w:val="none"/>
        </w:rPr>
        <w:br w:type="textWrapping"/>
      </w:r>
      <w:r>
        <w:rPr>
          <w:rFonts w:hint="eastAsia"/>
          <w:color w:val="auto"/>
          <w:highlight w:val="none"/>
        </w:rPr>
        <w:t>    （2）提供虚假的财务状况或者业绩；</w:t>
      </w:r>
      <w:r>
        <w:rPr>
          <w:rFonts w:hint="eastAsia"/>
          <w:color w:val="auto"/>
          <w:highlight w:val="none"/>
        </w:rPr>
        <w:br w:type="textWrapping"/>
      </w:r>
      <w:r>
        <w:rPr>
          <w:rFonts w:hint="eastAsia"/>
          <w:color w:val="auto"/>
          <w:highlight w:val="none"/>
        </w:rPr>
        <w:t>    （3）提供虚假的项目负责人或者主要技术人员简历、劳动关系证明；</w:t>
      </w:r>
      <w:r>
        <w:rPr>
          <w:rFonts w:hint="eastAsia"/>
          <w:color w:val="auto"/>
          <w:highlight w:val="none"/>
        </w:rPr>
        <w:br w:type="textWrapping"/>
      </w:r>
      <w:r>
        <w:rPr>
          <w:rFonts w:hint="eastAsia"/>
          <w:color w:val="auto"/>
          <w:highlight w:val="none"/>
        </w:rPr>
        <w:t>    （4）提供虚假的信用状况；</w:t>
      </w:r>
      <w:r>
        <w:rPr>
          <w:rFonts w:hint="eastAsia"/>
          <w:color w:val="auto"/>
          <w:highlight w:val="none"/>
        </w:rPr>
        <w:br w:type="textWrapping"/>
      </w:r>
      <w:r>
        <w:rPr>
          <w:rFonts w:hint="eastAsia"/>
          <w:color w:val="auto"/>
          <w:highlight w:val="none"/>
        </w:rPr>
        <w:t>    （5）其他弄虚作假的行为。</w:t>
      </w:r>
    </w:p>
    <w:p w14:paraId="7C9B85EE">
      <w:pPr>
        <w:autoSpaceDE w:val="0"/>
        <w:autoSpaceDN w:val="0"/>
        <w:adjustRightInd w:val="0"/>
        <w:snapToGrid w:val="0"/>
        <w:spacing w:line="320" w:lineRule="exact"/>
        <w:jc w:val="left"/>
        <w:rPr>
          <w:rFonts w:ascii="宋体" w:hAnsi="宋体"/>
          <w:b/>
          <w:snapToGrid w:val="0"/>
          <w:color w:val="auto"/>
          <w:kern w:val="0"/>
          <w:highlight w:val="none"/>
        </w:rPr>
      </w:pPr>
      <w:bookmarkStart w:id="413" w:name="_Toc277082601"/>
      <w:bookmarkStart w:id="414" w:name="_Toc200513175"/>
      <w:bookmarkStart w:id="415" w:name="_Toc452058728"/>
      <w:bookmarkStart w:id="416" w:name="_Toc224103366"/>
      <w:bookmarkStart w:id="417" w:name="_Toc386029694"/>
      <w:bookmarkStart w:id="418" w:name="_Toc287607795"/>
      <w:bookmarkStart w:id="419" w:name="_Toc21051"/>
      <w:bookmarkStart w:id="420" w:name="_Toc287620734"/>
      <w:r>
        <w:rPr>
          <w:rFonts w:ascii="宋体" w:hAnsi="宋体"/>
          <w:b/>
          <w:snapToGrid w:val="0"/>
          <w:color w:val="auto"/>
          <w:kern w:val="0"/>
          <w:highlight w:val="none"/>
        </w:rPr>
        <w:t xml:space="preserve">9.3  </w:t>
      </w:r>
      <w:r>
        <w:rPr>
          <w:rFonts w:hint="eastAsia" w:ascii="宋体" w:hAnsi="宋体"/>
          <w:b/>
          <w:snapToGrid w:val="0"/>
          <w:color w:val="auto"/>
          <w:kern w:val="0"/>
          <w:highlight w:val="none"/>
        </w:rPr>
        <w:t>对评标委员会成员的纪律要求</w:t>
      </w:r>
      <w:bookmarkEnd w:id="413"/>
      <w:bookmarkEnd w:id="414"/>
      <w:bookmarkEnd w:id="415"/>
      <w:bookmarkEnd w:id="416"/>
      <w:bookmarkEnd w:id="417"/>
      <w:bookmarkEnd w:id="418"/>
      <w:bookmarkEnd w:id="419"/>
      <w:bookmarkEnd w:id="420"/>
    </w:p>
    <w:p w14:paraId="5072EBF7">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421" w:name="_Toc200513176"/>
      <w:bookmarkStart w:id="422" w:name="_Toc224103367"/>
      <w:bookmarkStart w:id="423" w:name="_Toc386029695"/>
      <w:bookmarkStart w:id="424" w:name="_Toc277082602"/>
      <w:bookmarkStart w:id="425" w:name="_Toc26916"/>
      <w:bookmarkStart w:id="426" w:name="_Toc287607796"/>
      <w:bookmarkStart w:id="427" w:name="_Toc287620735"/>
      <w:r>
        <w:rPr>
          <w:rFonts w:hint="eastAsia" w:ascii="宋体" w:hAnsi="宋体" w:cs="MingLiU"/>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A4CA3F6">
      <w:pPr>
        <w:autoSpaceDE w:val="0"/>
        <w:autoSpaceDN w:val="0"/>
        <w:adjustRightInd w:val="0"/>
        <w:snapToGrid w:val="0"/>
        <w:spacing w:line="320" w:lineRule="exact"/>
        <w:jc w:val="left"/>
        <w:rPr>
          <w:rFonts w:ascii="宋体" w:hAnsi="宋体"/>
          <w:b/>
          <w:snapToGrid w:val="0"/>
          <w:color w:val="auto"/>
          <w:kern w:val="0"/>
          <w:highlight w:val="none"/>
        </w:rPr>
      </w:pPr>
      <w:bookmarkStart w:id="428" w:name="_Toc452058729"/>
      <w:r>
        <w:rPr>
          <w:rFonts w:ascii="宋体" w:hAnsi="宋体"/>
          <w:b/>
          <w:snapToGrid w:val="0"/>
          <w:color w:val="auto"/>
          <w:kern w:val="0"/>
          <w:highlight w:val="none"/>
        </w:rPr>
        <w:t xml:space="preserve">9.4  </w:t>
      </w:r>
      <w:r>
        <w:rPr>
          <w:rFonts w:hint="eastAsia" w:ascii="宋体" w:hAnsi="宋体"/>
          <w:b/>
          <w:snapToGrid w:val="0"/>
          <w:color w:val="auto"/>
          <w:kern w:val="0"/>
          <w:highlight w:val="none"/>
        </w:rPr>
        <w:t>对与评标活动有关的工作人员的纪律要求</w:t>
      </w:r>
      <w:bookmarkEnd w:id="421"/>
      <w:bookmarkEnd w:id="422"/>
      <w:bookmarkEnd w:id="423"/>
      <w:bookmarkEnd w:id="424"/>
      <w:bookmarkEnd w:id="425"/>
      <w:bookmarkEnd w:id="426"/>
      <w:bookmarkEnd w:id="427"/>
      <w:bookmarkEnd w:id="428"/>
    </w:p>
    <w:p w14:paraId="5B165694">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429" w:name="_Toc200513177"/>
      <w:bookmarkStart w:id="430" w:name="_Toc277082603"/>
      <w:bookmarkStart w:id="431" w:name="_Toc224103368"/>
      <w:bookmarkStart w:id="432" w:name="_Toc20460"/>
      <w:bookmarkStart w:id="433" w:name="_Toc386029696"/>
      <w:bookmarkStart w:id="434" w:name="_Toc287620736"/>
      <w:bookmarkStart w:id="435" w:name="_Toc287607797"/>
      <w:r>
        <w:rPr>
          <w:rFonts w:hint="eastAsia" w:ascii="宋体" w:hAnsi="宋体" w:cs="MingLiU"/>
          <w:snapToGrid w:val="0"/>
          <w:color w:val="auto"/>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33F110">
      <w:pPr>
        <w:autoSpaceDE w:val="0"/>
        <w:autoSpaceDN w:val="0"/>
        <w:adjustRightInd w:val="0"/>
        <w:snapToGrid w:val="0"/>
        <w:spacing w:line="320" w:lineRule="exact"/>
        <w:jc w:val="left"/>
        <w:rPr>
          <w:rFonts w:ascii="宋体" w:hAnsi="宋体"/>
          <w:b/>
          <w:snapToGrid w:val="0"/>
          <w:color w:val="auto"/>
          <w:kern w:val="0"/>
          <w:highlight w:val="none"/>
        </w:rPr>
      </w:pPr>
      <w:bookmarkStart w:id="436" w:name="_Toc452058730"/>
      <w:r>
        <w:rPr>
          <w:rFonts w:ascii="宋体" w:hAnsi="宋体"/>
          <w:b/>
          <w:snapToGrid w:val="0"/>
          <w:color w:val="auto"/>
          <w:kern w:val="0"/>
          <w:highlight w:val="none"/>
        </w:rPr>
        <w:t xml:space="preserve">9.5  </w:t>
      </w:r>
      <w:r>
        <w:rPr>
          <w:rFonts w:hint="eastAsia" w:ascii="宋体" w:hAnsi="宋体"/>
          <w:b/>
          <w:snapToGrid w:val="0"/>
          <w:color w:val="auto"/>
          <w:kern w:val="0"/>
          <w:highlight w:val="none"/>
        </w:rPr>
        <w:t>投诉</w:t>
      </w:r>
      <w:bookmarkEnd w:id="429"/>
      <w:bookmarkEnd w:id="430"/>
      <w:bookmarkEnd w:id="431"/>
      <w:bookmarkEnd w:id="432"/>
      <w:bookmarkEnd w:id="433"/>
      <w:bookmarkEnd w:id="434"/>
      <w:bookmarkEnd w:id="435"/>
      <w:bookmarkEnd w:id="436"/>
    </w:p>
    <w:p w14:paraId="2FA9ED9D">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投标人和其他利害关系人认为本次招标活动违反法律、法规和规章规定的，有权向有关行政监督部门投诉。</w:t>
      </w:r>
    </w:p>
    <w:p w14:paraId="6FACAD0E">
      <w:pPr>
        <w:autoSpaceDE w:val="0"/>
        <w:autoSpaceDN w:val="0"/>
        <w:adjustRightInd w:val="0"/>
        <w:snapToGrid w:val="0"/>
        <w:spacing w:line="320" w:lineRule="exact"/>
        <w:jc w:val="left"/>
        <w:rPr>
          <w:rFonts w:ascii="宋体" w:hAnsi="宋体"/>
          <w:b/>
          <w:snapToGrid w:val="0"/>
          <w:color w:val="auto"/>
          <w:kern w:val="0"/>
          <w:highlight w:val="none"/>
        </w:rPr>
      </w:pPr>
      <w:bookmarkStart w:id="437" w:name="_Toc386029697"/>
      <w:bookmarkStart w:id="438" w:name="_Toc277082604"/>
      <w:bookmarkStart w:id="439" w:name="_Toc25996"/>
      <w:bookmarkStart w:id="440" w:name="_Toc200513178"/>
      <w:bookmarkStart w:id="441" w:name="_Toc287607798"/>
      <w:bookmarkStart w:id="442" w:name="_Toc452058731"/>
      <w:bookmarkStart w:id="443" w:name="_Toc287620737"/>
      <w:bookmarkStart w:id="444" w:name="_Toc224103369"/>
      <w:bookmarkStart w:id="445" w:name="_Toc5118"/>
      <w:r>
        <w:rPr>
          <w:rFonts w:ascii="宋体" w:hAnsi="宋体"/>
          <w:b/>
          <w:snapToGrid w:val="0"/>
          <w:color w:val="auto"/>
          <w:kern w:val="0"/>
          <w:highlight w:val="none"/>
        </w:rPr>
        <w:t xml:space="preserve">10. </w:t>
      </w:r>
      <w:r>
        <w:rPr>
          <w:rFonts w:hint="eastAsia" w:ascii="宋体" w:hAnsi="宋体"/>
          <w:b/>
          <w:snapToGrid w:val="0"/>
          <w:color w:val="auto"/>
          <w:kern w:val="0"/>
          <w:highlight w:val="none"/>
        </w:rPr>
        <w:t>需要补充的其他内容</w:t>
      </w:r>
      <w:bookmarkEnd w:id="437"/>
      <w:bookmarkEnd w:id="438"/>
      <w:bookmarkEnd w:id="439"/>
      <w:bookmarkEnd w:id="440"/>
      <w:bookmarkEnd w:id="441"/>
      <w:bookmarkEnd w:id="442"/>
      <w:bookmarkEnd w:id="443"/>
      <w:bookmarkEnd w:id="444"/>
      <w:bookmarkEnd w:id="445"/>
    </w:p>
    <w:p w14:paraId="6E6CDA1B">
      <w:pPr>
        <w:autoSpaceDE w:val="0"/>
        <w:autoSpaceDN w:val="0"/>
        <w:adjustRightInd w:val="0"/>
        <w:snapToGrid w:val="0"/>
        <w:spacing w:line="320" w:lineRule="exact"/>
        <w:ind w:firstLine="420"/>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需要补充的其他内容：见投标人须知前附表。</w:t>
      </w:r>
    </w:p>
    <w:p w14:paraId="05317FF8">
      <w:pPr>
        <w:pStyle w:val="2"/>
        <w:rPr>
          <w:rFonts w:hint="eastAsia" w:ascii="宋体" w:hAnsi="宋体" w:cs="MingLiU"/>
          <w:snapToGrid w:val="0"/>
          <w:color w:val="auto"/>
          <w:kern w:val="0"/>
          <w:szCs w:val="21"/>
          <w:highlight w:val="none"/>
        </w:rPr>
      </w:pPr>
    </w:p>
    <w:p w14:paraId="018AA527">
      <w:pPr>
        <w:pStyle w:val="3"/>
        <w:rPr>
          <w:rFonts w:hint="eastAsia" w:ascii="宋体" w:hAnsi="宋体" w:cs="MingLiU"/>
          <w:snapToGrid w:val="0"/>
          <w:color w:val="auto"/>
          <w:kern w:val="0"/>
          <w:szCs w:val="21"/>
          <w:highlight w:val="none"/>
        </w:rPr>
      </w:pPr>
    </w:p>
    <w:p w14:paraId="3292D787">
      <w:pPr>
        <w:rPr>
          <w:rFonts w:hint="eastAsia" w:ascii="宋体" w:hAnsi="宋体" w:cs="MingLiU"/>
          <w:snapToGrid w:val="0"/>
          <w:color w:val="auto"/>
          <w:kern w:val="0"/>
          <w:szCs w:val="21"/>
          <w:highlight w:val="none"/>
        </w:rPr>
      </w:pPr>
    </w:p>
    <w:p w14:paraId="569920A2">
      <w:pPr>
        <w:pStyle w:val="2"/>
        <w:rPr>
          <w:rFonts w:hint="eastAsia" w:ascii="宋体" w:hAnsi="宋体" w:cs="MingLiU"/>
          <w:snapToGrid w:val="0"/>
          <w:color w:val="auto"/>
          <w:kern w:val="0"/>
          <w:szCs w:val="21"/>
          <w:highlight w:val="none"/>
        </w:rPr>
      </w:pPr>
    </w:p>
    <w:p w14:paraId="3179382B">
      <w:pPr>
        <w:pStyle w:val="3"/>
        <w:rPr>
          <w:rFonts w:hint="eastAsia" w:ascii="宋体" w:hAnsi="宋体" w:cs="MingLiU"/>
          <w:snapToGrid w:val="0"/>
          <w:color w:val="auto"/>
          <w:kern w:val="0"/>
          <w:szCs w:val="21"/>
          <w:highlight w:val="none"/>
        </w:rPr>
      </w:pPr>
    </w:p>
    <w:p w14:paraId="33F2CE29">
      <w:pPr>
        <w:rPr>
          <w:rFonts w:hint="eastAsia" w:ascii="宋体" w:hAnsi="宋体" w:cs="MingLiU"/>
          <w:snapToGrid w:val="0"/>
          <w:color w:val="auto"/>
          <w:kern w:val="0"/>
          <w:szCs w:val="21"/>
          <w:highlight w:val="none"/>
        </w:rPr>
      </w:pPr>
    </w:p>
    <w:p w14:paraId="7BBF5047">
      <w:pPr>
        <w:pStyle w:val="2"/>
        <w:rPr>
          <w:rFonts w:hint="eastAsia" w:ascii="宋体" w:hAnsi="宋体" w:cs="MingLiU"/>
          <w:snapToGrid w:val="0"/>
          <w:color w:val="auto"/>
          <w:kern w:val="0"/>
          <w:szCs w:val="21"/>
          <w:highlight w:val="none"/>
        </w:rPr>
      </w:pPr>
    </w:p>
    <w:p w14:paraId="6C9BF9A0">
      <w:pPr>
        <w:pStyle w:val="3"/>
        <w:rPr>
          <w:rFonts w:hint="eastAsia" w:ascii="宋体" w:hAnsi="宋体" w:cs="MingLiU"/>
          <w:snapToGrid w:val="0"/>
          <w:color w:val="auto"/>
          <w:kern w:val="0"/>
          <w:szCs w:val="21"/>
          <w:highlight w:val="none"/>
        </w:rPr>
      </w:pPr>
    </w:p>
    <w:p w14:paraId="65C7FB28">
      <w:pPr>
        <w:rPr>
          <w:rFonts w:hint="eastAsia" w:ascii="宋体" w:hAnsi="宋体" w:cs="MingLiU"/>
          <w:snapToGrid w:val="0"/>
          <w:color w:val="auto"/>
          <w:kern w:val="0"/>
          <w:szCs w:val="21"/>
          <w:highlight w:val="none"/>
        </w:rPr>
      </w:pPr>
    </w:p>
    <w:p w14:paraId="50CF6247">
      <w:pPr>
        <w:pStyle w:val="2"/>
        <w:rPr>
          <w:rFonts w:hint="eastAsia" w:ascii="宋体" w:hAnsi="宋体" w:cs="MingLiU"/>
          <w:snapToGrid w:val="0"/>
          <w:color w:val="auto"/>
          <w:kern w:val="0"/>
          <w:szCs w:val="21"/>
          <w:highlight w:val="none"/>
        </w:rPr>
      </w:pPr>
    </w:p>
    <w:p w14:paraId="02D6AE2D">
      <w:pPr>
        <w:pStyle w:val="3"/>
        <w:rPr>
          <w:rFonts w:hint="eastAsia" w:ascii="宋体" w:hAnsi="宋体" w:cs="MingLiU"/>
          <w:snapToGrid w:val="0"/>
          <w:color w:val="auto"/>
          <w:kern w:val="0"/>
          <w:szCs w:val="21"/>
          <w:highlight w:val="none"/>
        </w:rPr>
      </w:pPr>
    </w:p>
    <w:p w14:paraId="14D5F556">
      <w:pPr>
        <w:pStyle w:val="2"/>
        <w:rPr>
          <w:rFonts w:hint="eastAsia" w:ascii="宋体" w:hAnsi="宋体" w:cs="MingLiU"/>
          <w:snapToGrid w:val="0"/>
          <w:color w:val="auto"/>
          <w:kern w:val="0"/>
          <w:szCs w:val="21"/>
          <w:highlight w:val="none"/>
        </w:rPr>
      </w:pPr>
    </w:p>
    <w:p w14:paraId="3D7EC476">
      <w:pPr>
        <w:rPr>
          <w:rFonts w:hint="eastAsia" w:ascii="宋体" w:hAnsi="宋体" w:cs="MingLiU"/>
          <w:snapToGrid w:val="0"/>
          <w:color w:val="auto"/>
          <w:kern w:val="0"/>
          <w:szCs w:val="21"/>
          <w:highlight w:val="none"/>
        </w:rPr>
      </w:pPr>
    </w:p>
    <w:p w14:paraId="763A37C6">
      <w:pPr>
        <w:pStyle w:val="2"/>
        <w:rPr>
          <w:rFonts w:hint="eastAsia" w:ascii="宋体" w:hAnsi="宋体" w:cs="MingLiU"/>
          <w:snapToGrid w:val="0"/>
          <w:color w:val="auto"/>
          <w:kern w:val="0"/>
          <w:szCs w:val="21"/>
          <w:highlight w:val="none"/>
        </w:rPr>
      </w:pPr>
    </w:p>
    <w:p w14:paraId="318BB7AC">
      <w:pPr>
        <w:rPr>
          <w:rFonts w:hint="eastAsia" w:ascii="宋体" w:hAnsi="宋体" w:cs="MingLiU"/>
          <w:snapToGrid w:val="0"/>
          <w:color w:val="auto"/>
          <w:kern w:val="0"/>
          <w:szCs w:val="21"/>
          <w:highlight w:val="none"/>
        </w:rPr>
      </w:pPr>
    </w:p>
    <w:p w14:paraId="5D650014">
      <w:pPr>
        <w:pStyle w:val="2"/>
        <w:rPr>
          <w:rFonts w:hint="eastAsia" w:ascii="宋体" w:hAnsi="宋体" w:cs="MingLiU"/>
          <w:snapToGrid w:val="0"/>
          <w:color w:val="auto"/>
          <w:kern w:val="0"/>
          <w:szCs w:val="21"/>
          <w:highlight w:val="none"/>
        </w:rPr>
      </w:pPr>
    </w:p>
    <w:p w14:paraId="6284057A">
      <w:pPr>
        <w:rPr>
          <w:rFonts w:hint="eastAsia" w:ascii="宋体" w:hAnsi="宋体" w:cs="MingLiU"/>
          <w:snapToGrid w:val="0"/>
          <w:color w:val="auto"/>
          <w:kern w:val="0"/>
          <w:szCs w:val="21"/>
          <w:highlight w:val="none"/>
        </w:rPr>
      </w:pPr>
    </w:p>
    <w:p w14:paraId="7B8FD405">
      <w:pPr>
        <w:pStyle w:val="2"/>
        <w:rPr>
          <w:rFonts w:hint="eastAsia" w:ascii="宋体" w:hAnsi="宋体" w:cs="MingLiU"/>
          <w:snapToGrid w:val="0"/>
          <w:color w:val="auto"/>
          <w:kern w:val="0"/>
          <w:szCs w:val="21"/>
          <w:highlight w:val="none"/>
        </w:rPr>
      </w:pPr>
    </w:p>
    <w:p w14:paraId="433D38DB">
      <w:pPr>
        <w:rPr>
          <w:rFonts w:hint="eastAsia" w:ascii="宋体" w:hAnsi="宋体" w:cs="MingLiU"/>
          <w:snapToGrid w:val="0"/>
          <w:color w:val="auto"/>
          <w:kern w:val="0"/>
          <w:szCs w:val="21"/>
          <w:highlight w:val="none"/>
        </w:rPr>
      </w:pPr>
    </w:p>
    <w:p w14:paraId="0E50C5D6">
      <w:pPr>
        <w:pStyle w:val="2"/>
        <w:rPr>
          <w:rFonts w:hint="eastAsia" w:ascii="宋体" w:hAnsi="宋体" w:cs="MingLiU"/>
          <w:snapToGrid w:val="0"/>
          <w:color w:val="auto"/>
          <w:kern w:val="0"/>
          <w:szCs w:val="21"/>
          <w:highlight w:val="none"/>
        </w:rPr>
      </w:pPr>
    </w:p>
    <w:p w14:paraId="32FACC9E">
      <w:pPr>
        <w:rPr>
          <w:rFonts w:hint="eastAsia" w:ascii="宋体" w:hAnsi="宋体" w:cs="MingLiU"/>
          <w:snapToGrid w:val="0"/>
          <w:color w:val="auto"/>
          <w:kern w:val="0"/>
          <w:szCs w:val="21"/>
          <w:highlight w:val="none"/>
        </w:rPr>
      </w:pPr>
    </w:p>
    <w:p w14:paraId="660AB201">
      <w:pPr>
        <w:pStyle w:val="2"/>
        <w:rPr>
          <w:rFonts w:hint="eastAsia" w:ascii="宋体" w:hAnsi="宋体" w:cs="MingLiU"/>
          <w:snapToGrid w:val="0"/>
          <w:color w:val="auto"/>
          <w:kern w:val="0"/>
          <w:szCs w:val="21"/>
          <w:highlight w:val="none"/>
        </w:rPr>
      </w:pPr>
    </w:p>
    <w:p w14:paraId="14ADE773">
      <w:pPr>
        <w:rPr>
          <w:rFonts w:hint="eastAsia" w:ascii="宋体" w:hAnsi="宋体" w:cs="MingLiU"/>
          <w:snapToGrid w:val="0"/>
          <w:color w:val="auto"/>
          <w:kern w:val="0"/>
          <w:szCs w:val="21"/>
          <w:highlight w:val="none"/>
        </w:rPr>
      </w:pPr>
    </w:p>
    <w:p w14:paraId="5AEF4BA7">
      <w:pPr>
        <w:keepNext/>
        <w:keepLines/>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b/>
          <w:snapToGrid w:val="0"/>
          <w:kern w:val="0"/>
          <w:highlight w:val="none"/>
        </w:rPr>
      </w:pPr>
      <w:r>
        <w:rPr>
          <w:rFonts w:ascii="宋体" w:hAnsi="宋体"/>
          <w:b/>
          <w:snapToGrid w:val="0"/>
          <w:kern w:val="0"/>
          <w:highlight w:val="none"/>
        </w:rPr>
        <w:t>附表一：开标记录表</w:t>
      </w:r>
    </w:p>
    <w:p w14:paraId="2B65BB08">
      <w:pPr>
        <w:autoSpaceDE w:val="0"/>
        <w:autoSpaceDN w:val="0"/>
        <w:adjustRightInd w:val="0"/>
        <w:snapToGrid w:val="0"/>
        <w:spacing w:line="360" w:lineRule="auto"/>
        <w:jc w:val="left"/>
        <w:rPr>
          <w:rFonts w:hint="eastAsia" w:ascii="宋体" w:hAnsi="宋体"/>
          <w:b/>
          <w:snapToGrid w:val="0"/>
          <w:kern w:val="0"/>
          <w:highlight w:val="none"/>
        </w:rPr>
      </w:pPr>
    </w:p>
    <w:p w14:paraId="0E4686F8">
      <w:pPr>
        <w:tabs>
          <w:tab w:val="left" w:pos="3529"/>
          <w:tab w:val="left" w:pos="5060"/>
        </w:tabs>
        <w:autoSpaceDE w:val="0"/>
        <w:autoSpaceDN w:val="0"/>
        <w:adjustRightInd w:val="0"/>
        <w:snapToGrid w:val="0"/>
        <w:spacing w:line="360" w:lineRule="auto"/>
        <w:jc w:val="left"/>
        <w:rPr>
          <w:rFonts w:ascii="宋体" w:hAnsi="宋体"/>
          <w:b/>
          <w:snapToGrid w:val="0"/>
          <w:kern w:val="0"/>
          <w:sz w:val="28"/>
          <w:szCs w:val="28"/>
          <w:highlight w:val="none"/>
        </w:rPr>
      </w:pPr>
      <w:r>
        <w:rPr>
          <w:rFonts w:hint="eastAsia" w:ascii="宋体" w:hAnsi="宋体" w:cs="MingLiU"/>
          <w:snapToGrid w:val="0"/>
          <w:w w:val="198"/>
          <w:kern w:val="0"/>
          <w:sz w:val="28"/>
          <w:szCs w:val="28"/>
          <w:highlight w:val="none"/>
          <w:u w:val="single"/>
        </w:rPr>
        <w:t xml:space="preserve">            </w:t>
      </w:r>
      <w:r>
        <w:rPr>
          <w:rFonts w:ascii="宋体" w:hAnsi="宋体"/>
          <w:b/>
          <w:snapToGrid w:val="0"/>
          <w:w w:val="99"/>
          <w:kern w:val="0"/>
          <w:sz w:val="28"/>
          <w:szCs w:val="28"/>
          <w:highlight w:val="none"/>
        </w:rPr>
        <w:t>（项目名称）</w:t>
      </w:r>
      <w:r>
        <w:rPr>
          <w:rFonts w:hint="eastAsia" w:ascii="宋体" w:hAnsi="宋体" w:cs="MingLiU"/>
          <w:snapToGrid w:val="0"/>
          <w:w w:val="198"/>
          <w:kern w:val="0"/>
          <w:sz w:val="28"/>
          <w:szCs w:val="28"/>
          <w:highlight w:val="none"/>
          <w:u w:val="single"/>
        </w:rPr>
        <w:t xml:space="preserve">    </w:t>
      </w:r>
      <w:r>
        <w:rPr>
          <w:rFonts w:hint="eastAsia" w:ascii="宋体" w:hAnsi="宋体"/>
          <w:snapToGrid w:val="0"/>
          <w:kern w:val="0"/>
          <w:sz w:val="28"/>
          <w:szCs w:val="28"/>
          <w:highlight w:val="none"/>
          <w:u w:val="single"/>
        </w:rPr>
        <w:t xml:space="preserve"> </w:t>
      </w:r>
      <w:r>
        <w:rPr>
          <w:rFonts w:ascii="宋体" w:hAnsi="宋体"/>
          <w:b/>
          <w:snapToGrid w:val="0"/>
          <w:w w:val="99"/>
          <w:kern w:val="0"/>
          <w:sz w:val="28"/>
          <w:szCs w:val="28"/>
          <w:highlight w:val="none"/>
        </w:rPr>
        <w:t>标段施工开标记录表</w:t>
      </w:r>
    </w:p>
    <w:p w14:paraId="389AE4BC">
      <w:pPr>
        <w:tabs>
          <w:tab w:val="left" w:pos="2260"/>
          <w:tab w:val="left" w:pos="5060"/>
        </w:tabs>
        <w:autoSpaceDE w:val="0"/>
        <w:autoSpaceDN w:val="0"/>
        <w:adjustRightInd w:val="0"/>
        <w:snapToGrid w:val="0"/>
        <w:spacing w:line="360" w:lineRule="auto"/>
        <w:jc w:val="right"/>
        <w:rPr>
          <w:rFonts w:ascii="宋体" w:hAnsi="宋体"/>
          <w:snapToGrid w:val="0"/>
          <w:kern w:val="0"/>
          <w:szCs w:val="21"/>
          <w:highlight w:val="none"/>
        </w:rPr>
      </w:pPr>
      <w:r>
        <w:rPr>
          <w:rFonts w:ascii="宋体" w:hAnsi="宋体"/>
          <w:b/>
          <w:snapToGrid w:val="0"/>
          <w:kern w:val="0"/>
          <w:sz w:val="28"/>
          <w:szCs w:val="28"/>
          <w:highlight w:val="none"/>
        </w:rPr>
        <w:t xml:space="preserve">                             </w:t>
      </w:r>
      <w:r>
        <w:rPr>
          <w:rFonts w:ascii="宋体" w:hAnsi="宋体"/>
          <w:snapToGrid w:val="0"/>
          <w:kern w:val="0"/>
          <w:szCs w:val="21"/>
          <w:highlight w:val="none"/>
        </w:rPr>
        <w:t>开标时间：</w:t>
      </w:r>
      <w:r>
        <w:rPr>
          <w:rFonts w:hint="eastAsia" w:ascii="宋体" w:hAnsi="宋体" w:cs="MingLiU"/>
          <w:snapToGrid w:val="0"/>
          <w:w w:val="200"/>
          <w:kern w:val="0"/>
          <w:szCs w:val="21"/>
          <w:highlight w:val="none"/>
          <w:u w:val="single"/>
        </w:rPr>
        <w:t xml:space="preserve">     </w:t>
      </w:r>
      <w:r>
        <w:rPr>
          <w:rFonts w:hint="eastAsia" w:ascii="宋体" w:hAnsi="宋体" w:cs="MingLiU"/>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分</w:t>
      </w:r>
    </w:p>
    <w:tbl>
      <w:tblPr>
        <w:tblStyle w:val="53"/>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08"/>
        <w:gridCol w:w="567"/>
        <w:gridCol w:w="851"/>
        <w:gridCol w:w="992"/>
        <w:gridCol w:w="1188"/>
        <w:gridCol w:w="947"/>
        <w:gridCol w:w="947"/>
        <w:gridCol w:w="947"/>
        <w:gridCol w:w="947"/>
        <w:gridCol w:w="948"/>
      </w:tblGrid>
      <w:tr w14:paraId="235CDD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27" w:type="dxa"/>
            <w:vAlign w:val="center"/>
          </w:tcPr>
          <w:p w14:paraId="07CD44A3">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708" w:type="dxa"/>
            <w:vAlign w:val="center"/>
          </w:tcPr>
          <w:p w14:paraId="0C3760A7">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投标人</w:t>
            </w:r>
          </w:p>
        </w:tc>
        <w:tc>
          <w:tcPr>
            <w:tcW w:w="567" w:type="dxa"/>
            <w:vAlign w:val="center"/>
          </w:tcPr>
          <w:p w14:paraId="129F4366">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密封</w:t>
            </w:r>
          </w:p>
          <w:p w14:paraId="15CA28E1">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情况</w:t>
            </w:r>
          </w:p>
        </w:tc>
        <w:tc>
          <w:tcPr>
            <w:tcW w:w="851" w:type="dxa"/>
            <w:vAlign w:val="center"/>
          </w:tcPr>
          <w:p w14:paraId="2060E435">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投标保</w:t>
            </w:r>
          </w:p>
          <w:p w14:paraId="520A7581">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证金</w:t>
            </w:r>
          </w:p>
        </w:tc>
        <w:tc>
          <w:tcPr>
            <w:tcW w:w="992" w:type="dxa"/>
            <w:tcBorders>
              <w:right w:val="single" w:color="auto" w:sz="4" w:space="0"/>
            </w:tcBorders>
            <w:vAlign w:val="center"/>
          </w:tcPr>
          <w:p w14:paraId="1DC3FE2F">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投标</w:t>
            </w:r>
          </w:p>
          <w:p w14:paraId="66FBAF94">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总报价</w:t>
            </w:r>
          </w:p>
        </w:tc>
        <w:tc>
          <w:tcPr>
            <w:tcW w:w="1188" w:type="dxa"/>
            <w:tcBorders>
              <w:left w:val="single" w:color="auto" w:sz="4" w:space="0"/>
            </w:tcBorders>
            <w:vAlign w:val="center"/>
          </w:tcPr>
          <w:p w14:paraId="36943DE4">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安全文明</w:t>
            </w:r>
          </w:p>
          <w:p w14:paraId="5F65AD89">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施工费</w:t>
            </w:r>
            <w:r>
              <w:rPr>
                <w:rFonts w:hint="eastAsia" w:ascii="宋体" w:hAnsi="宋体"/>
                <w:snapToGrid w:val="0"/>
                <w:kern w:val="0"/>
                <w:szCs w:val="21"/>
                <w:highlight w:val="none"/>
              </w:rPr>
              <w:t>暂定金额</w:t>
            </w:r>
          </w:p>
        </w:tc>
        <w:tc>
          <w:tcPr>
            <w:tcW w:w="947" w:type="dxa"/>
            <w:vAlign w:val="center"/>
          </w:tcPr>
          <w:p w14:paraId="05BBEDBC">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质量</w:t>
            </w:r>
          </w:p>
          <w:p w14:paraId="0726B02C">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目标</w:t>
            </w:r>
          </w:p>
        </w:tc>
        <w:tc>
          <w:tcPr>
            <w:tcW w:w="947" w:type="dxa"/>
            <w:vAlign w:val="center"/>
          </w:tcPr>
          <w:p w14:paraId="57247886">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工期</w:t>
            </w:r>
          </w:p>
        </w:tc>
        <w:tc>
          <w:tcPr>
            <w:tcW w:w="947" w:type="dxa"/>
            <w:vAlign w:val="center"/>
          </w:tcPr>
          <w:p w14:paraId="121F8EEE">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项目</w:t>
            </w:r>
          </w:p>
          <w:p w14:paraId="55A196D7">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经理</w:t>
            </w:r>
          </w:p>
        </w:tc>
        <w:tc>
          <w:tcPr>
            <w:tcW w:w="947" w:type="dxa"/>
            <w:vAlign w:val="center"/>
          </w:tcPr>
          <w:p w14:paraId="0077EF34">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备注</w:t>
            </w:r>
          </w:p>
        </w:tc>
        <w:tc>
          <w:tcPr>
            <w:tcW w:w="948" w:type="dxa"/>
            <w:vAlign w:val="center"/>
          </w:tcPr>
          <w:p w14:paraId="7A52F3E9">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签名</w:t>
            </w:r>
          </w:p>
        </w:tc>
      </w:tr>
      <w:tr w14:paraId="7CC9A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037A6983">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221E6727">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7A906EA4">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18110019">
            <w:pPr>
              <w:autoSpaceDE w:val="0"/>
              <w:autoSpaceDN w:val="0"/>
              <w:adjustRightInd w:val="0"/>
              <w:snapToGrid w:val="0"/>
              <w:jc w:val="left"/>
              <w:rPr>
                <w:rFonts w:ascii="宋体" w:hAnsi="宋体"/>
                <w:snapToGrid w:val="0"/>
                <w:kern w:val="0"/>
                <w:szCs w:val="21"/>
                <w:highlight w:val="none"/>
              </w:rPr>
            </w:pPr>
          </w:p>
        </w:tc>
        <w:tc>
          <w:tcPr>
            <w:tcW w:w="992" w:type="dxa"/>
            <w:tcBorders>
              <w:right w:val="single" w:color="auto" w:sz="4" w:space="0"/>
            </w:tcBorders>
            <w:vAlign w:val="center"/>
          </w:tcPr>
          <w:p w14:paraId="5DFA2E14">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18FD37E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8C28330">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D63DFBE">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CAD3BA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E943E53">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22A54FD3">
            <w:pPr>
              <w:autoSpaceDE w:val="0"/>
              <w:autoSpaceDN w:val="0"/>
              <w:adjustRightInd w:val="0"/>
              <w:snapToGrid w:val="0"/>
              <w:jc w:val="left"/>
              <w:rPr>
                <w:rFonts w:ascii="宋体" w:hAnsi="宋体"/>
                <w:snapToGrid w:val="0"/>
                <w:kern w:val="0"/>
                <w:sz w:val="28"/>
                <w:szCs w:val="28"/>
                <w:highlight w:val="none"/>
              </w:rPr>
            </w:pPr>
          </w:p>
        </w:tc>
      </w:tr>
      <w:tr w14:paraId="39CD74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6E5A2053">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F4C9BF8">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3672B1C2">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7AEAC1E4">
            <w:pPr>
              <w:autoSpaceDE w:val="0"/>
              <w:autoSpaceDN w:val="0"/>
              <w:adjustRightInd w:val="0"/>
              <w:snapToGrid w:val="0"/>
              <w:jc w:val="left"/>
              <w:rPr>
                <w:rFonts w:ascii="宋体" w:hAnsi="宋体"/>
                <w:snapToGrid w:val="0"/>
                <w:kern w:val="0"/>
                <w:szCs w:val="21"/>
                <w:highlight w:val="none"/>
              </w:rPr>
            </w:pPr>
          </w:p>
        </w:tc>
        <w:tc>
          <w:tcPr>
            <w:tcW w:w="992" w:type="dxa"/>
            <w:tcBorders>
              <w:right w:val="single" w:color="auto" w:sz="4" w:space="0"/>
            </w:tcBorders>
            <w:vAlign w:val="center"/>
          </w:tcPr>
          <w:p w14:paraId="6366B082">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6521FD5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ACC51B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5F7078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1D60B39">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4B4D2B0">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08BB3528">
            <w:pPr>
              <w:autoSpaceDE w:val="0"/>
              <w:autoSpaceDN w:val="0"/>
              <w:adjustRightInd w:val="0"/>
              <w:snapToGrid w:val="0"/>
              <w:jc w:val="left"/>
              <w:rPr>
                <w:rFonts w:ascii="宋体" w:hAnsi="宋体"/>
                <w:snapToGrid w:val="0"/>
                <w:kern w:val="0"/>
                <w:sz w:val="28"/>
                <w:szCs w:val="28"/>
                <w:highlight w:val="none"/>
              </w:rPr>
            </w:pPr>
          </w:p>
        </w:tc>
      </w:tr>
      <w:tr w14:paraId="6F2269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53844716">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20BEB5F8">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225BA636">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2C119BF9">
            <w:pPr>
              <w:autoSpaceDE w:val="0"/>
              <w:autoSpaceDN w:val="0"/>
              <w:adjustRightInd w:val="0"/>
              <w:snapToGrid w:val="0"/>
              <w:jc w:val="left"/>
              <w:rPr>
                <w:rFonts w:ascii="宋体" w:hAnsi="宋体"/>
                <w:snapToGrid w:val="0"/>
                <w:kern w:val="0"/>
                <w:szCs w:val="21"/>
                <w:highlight w:val="none"/>
              </w:rPr>
            </w:pPr>
          </w:p>
        </w:tc>
        <w:tc>
          <w:tcPr>
            <w:tcW w:w="992" w:type="dxa"/>
            <w:tcBorders>
              <w:right w:val="single" w:color="auto" w:sz="4" w:space="0"/>
            </w:tcBorders>
            <w:vAlign w:val="center"/>
          </w:tcPr>
          <w:p w14:paraId="66ACBD9F">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7C6A6084">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10EF36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6C9C97B">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1F550D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A19CD47">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37BA9F12">
            <w:pPr>
              <w:autoSpaceDE w:val="0"/>
              <w:autoSpaceDN w:val="0"/>
              <w:adjustRightInd w:val="0"/>
              <w:snapToGrid w:val="0"/>
              <w:jc w:val="left"/>
              <w:rPr>
                <w:rFonts w:ascii="宋体" w:hAnsi="宋体"/>
                <w:snapToGrid w:val="0"/>
                <w:kern w:val="0"/>
                <w:sz w:val="28"/>
                <w:szCs w:val="28"/>
                <w:highlight w:val="none"/>
              </w:rPr>
            </w:pPr>
          </w:p>
        </w:tc>
      </w:tr>
      <w:tr w14:paraId="2C3AD6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403C7255">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59C7107">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010726C4">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28C1FB96">
            <w:pPr>
              <w:autoSpaceDE w:val="0"/>
              <w:autoSpaceDN w:val="0"/>
              <w:adjustRightInd w:val="0"/>
              <w:snapToGrid w:val="0"/>
              <w:jc w:val="left"/>
              <w:rPr>
                <w:rFonts w:ascii="宋体" w:hAnsi="宋体"/>
                <w:snapToGrid w:val="0"/>
                <w:kern w:val="0"/>
                <w:szCs w:val="21"/>
                <w:highlight w:val="none"/>
              </w:rPr>
            </w:pPr>
          </w:p>
        </w:tc>
        <w:tc>
          <w:tcPr>
            <w:tcW w:w="992" w:type="dxa"/>
            <w:tcBorders>
              <w:right w:val="single" w:color="auto" w:sz="4" w:space="0"/>
            </w:tcBorders>
            <w:vAlign w:val="center"/>
          </w:tcPr>
          <w:p w14:paraId="1512D158">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3A16D30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243655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B398E44">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CF444C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EA4A66E">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016B95BE">
            <w:pPr>
              <w:autoSpaceDE w:val="0"/>
              <w:autoSpaceDN w:val="0"/>
              <w:adjustRightInd w:val="0"/>
              <w:snapToGrid w:val="0"/>
              <w:jc w:val="left"/>
              <w:rPr>
                <w:rFonts w:ascii="宋体" w:hAnsi="宋体"/>
                <w:snapToGrid w:val="0"/>
                <w:kern w:val="0"/>
                <w:sz w:val="28"/>
                <w:szCs w:val="28"/>
                <w:highlight w:val="none"/>
              </w:rPr>
            </w:pPr>
          </w:p>
        </w:tc>
      </w:tr>
      <w:tr w14:paraId="4CCD37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4B67AF55">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781CFD25">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36D099EE">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6FC512AC">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0BD19A05">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7C1EFF8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EC82AF4">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1F1E39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6FB718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06FBF64">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405E5FBB">
            <w:pPr>
              <w:autoSpaceDE w:val="0"/>
              <w:autoSpaceDN w:val="0"/>
              <w:adjustRightInd w:val="0"/>
              <w:snapToGrid w:val="0"/>
              <w:jc w:val="left"/>
              <w:rPr>
                <w:rFonts w:ascii="宋体" w:hAnsi="宋体"/>
                <w:snapToGrid w:val="0"/>
                <w:kern w:val="0"/>
                <w:sz w:val="28"/>
                <w:szCs w:val="28"/>
                <w:highlight w:val="none"/>
              </w:rPr>
            </w:pPr>
          </w:p>
        </w:tc>
      </w:tr>
      <w:tr w14:paraId="05A717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7C17874C">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32292C3D">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0DD77BBB">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6D2A51F8">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3BD62D15">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7BB1328D">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8C3E61D">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BDE7F69">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D11AAD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7C96712">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4C7BA89">
            <w:pPr>
              <w:autoSpaceDE w:val="0"/>
              <w:autoSpaceDN w:val="0"/>
              <w:adjustRightInd w:val="0"/>
              <w:snapToGrid w:val="0"/>
              <w:jc w:val="left"/>
              <w:rPr>
                <w:rFonts w:ascii="宋体" w:hAnsi="宋体"/>
                <w:snapToGrid w:val="0"/>
                <w:kern w:val="0"/>
                <w:sz w:val="28"/>
                <w:szCs w:val="28"/>
                <w:highlight w:val="none"/>
              </w:rPr>
            </w:pPr>
          </w:p>
        </w:tc>
      </w:tr>
      <w:tr w14:paraId="7E2F00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1F1F2E4B">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214978F4">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51D3A61F">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20F1BD0B">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64972D9D">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3691F7AB">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E8A7FD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95786CD">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B57E5B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FA86956">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84B8FB1">
            <w:pPr>
              <w:autoSpaceDE w:val="0"/>
              <w:autoSpaceDN w:val="0"/>
              <w:adjustRightInd w:val="0"/>
              <w:snapToGrid w:val="0"/>
              <w:jc w:val="left"/>
              <w:rPr>
                <w:rFonts w:ascii="宋体" w:hAnsi="宋体"/>
                <w:snapToGrid w:val="0"/>
                <w:kern w:val="0"/>
                <w:sz w:val="28"/>
                <w:szCs w:val="28"/>
                <w:highlight w:val="none"/>
              </w:rPr>
            </w:pPr>
          </w:p>
        </w:tc>
      </w:tr>
      <w:tr w14:paraId="1266E5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68839BD7">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7B61BA7E">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2DF54136">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311D99C2">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15743C2C">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6F9E6A94">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14CD02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52E50D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3695B3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19CC9F7">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9554855">
            <w:pPr>
              <w:autoSpaceDE w:val="0"/>
              <w:autoSpaceDN w:val="0"/>
              <w:adjustRightInd w:val="0"/>
              <w:snapToGrid w:val="0"/>
              <w:jc w:val="left"/>
              <w:rPr>
                <w:rFonts w:ascii="宋体" w:hAnsi="宋体"/>
                <w:snapToGrid w:val="0"/>
                <w:kern w:val="0"/>
                <w:sz w:val="28"/>
                <w:szCs w:val="28"/>
                <w:highlight w:val="none"/>
              </w:rPr>
            </w:pPr>
          </w:p>
        </w:tc>
      </w:tr>
      <w:tr w14:paraId="7EBFE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03FC9DB0">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626D5C62">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660E9B4C">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121E42FC">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4845EAA8">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5559BB19">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3E397A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69E3DD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6C7E18B">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5482A3D">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7CCD4FEB">
            <w:pPr>
              <w:autoSpaceDE w:val="0"/>
              <w:autoSpaceDN w:val="0"/>
              <w:adjustRightInd w:val="0"/>
              <w:snapToGrid w:val="0"/>
              <w:jc w:val="left"/>
              <w:rPr>
                <w:rFonts w:ascii="宋体" w:hAnsi="宋体"/>
                <w:snapToGrid w:val="0"/>
                <w:kern w:val="0"/>
                <w:sz w:val="28"/>
                <w:szCs w:val="28"/>
                <w:highlight w:val="none"/>
              </w:rPr>
            </w:pPr>
          </w:p>
        </w:tc>
      </w:tr>
      <w:tr w14:paraId="712F46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768CDBBF">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51E7DDEF">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016DC589">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3030E07B">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44E4DC19">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1CC844DE">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C8E7C79">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767BA29">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75FE68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919DA52">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2DD0254B">
            <w:pPr>
              <w:autoSpaceDE w:val="0"/>
              <w:autoSpaceDN w:val="0"/>
              <w:adjustRightInd w:val="0"/>
              <w:snapToGrid w:val="0"/>
              <w:jc w:val="left"/>
              <w:rPr>
                <w:rFonts w:ascii="宋体" w:hAnsi="宋体"/>
                <w:snapToGrid w:val="0"/>
                <w:kern w:val="0"/>
                <w:sz w:val="28"/>
                <w:szCs w:val="28"/>
                <w:highlight w:val="none"/>
              </w:rPr>
            </w:pPr>
          </w:p>
        </w:tc>
      </w:tr>
      <w:tr w14:paraId="2443F3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0A149390">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65E44CC8">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7C7B185C">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35BE9F38">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1BF1B1F8">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6084A9ED">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F2952E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490DF1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D3CD054">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9F4BDB8">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393B9AB4">
            <w:pPr>
              <w:autoSpaceDE w:val="0"/>
              <w:autoSpaceDN w:val="0"/>
              <w:adjustRightInd w:val="0"/>
              <w:snapToGrid w:val="0"/>
              <w:jc w:val="left"/>
              <w:rPr>
                <w:rFonts w:ascii="宋体" w:hAnsi="宋体"/>
                <w:snapToGrid w:val="0"/>
                <w:kern w:val="0"/>
                <w:sz w:val="28"/>
                <w:szCs w:val="28"/>
                <w:highlight w:val="none"/>
              </w:rPr>
            </w:pPr>
          </w:p>
        </w:tc>
      </w:tr>
      <w:tr w14:paraId="3B0A7D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6BB4EF9A">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074FB636">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160A9BD0">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3DC975CB">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2E3A22DB">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488293A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86026E0">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A2B1AA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04694A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79A5DEB">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7491556">
            <w:pPr>
              <w:autoSpaceDE w:val="0"/>
              <w:autoSpaceDN w:val="0"/>
              <w:adjustRightInd w:val="0"/>
              <w:snapToGrid w:val="0"/>
              <w:jc w:val="left"/>
              <w:rPr>
                <w:rFonts w:ascii="宋体" w:hAnsi="宋体"/>
                <w:snapToGrid w:val="0"/>
                <w:kern w:val="0"/>
                <w:sz w:val="28"/>
                <w:szCs w:val="28"/>
                <w:highlight w:val="none"/>
              </w:rPr>
            </w:pPr>
          </w:p>
        </w:tc>
      </w:tr>
      <w:tr w14:paraId="5A38E4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28AC48DC">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557CF8C6">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4D6CB667">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23FC5F80">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5FD4799A">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306506DD">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CDE829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00DCF73">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37455D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59D43FA">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9126B02">
            <w:pPr>
              <w:autoSpaceDE w:val="0"/>
              <w:autoSpaceDN w:val="0"/>
              <w:adjustRightInd w:val="0"/>
              <w:snapToGrid w:val="0"/>
              <w:jc w:val="left"/>
              <w:rPr>
                <w:rFonts w:ascii="宋体" w:hAnsi="宋体"/>
                <w:snapToGrid w:val="0"/>
                <w:kern w:val="0"/>
                <w:sz w:val="28"/>
                <w:szCs w:val="28"/>
                <w:highlight w:val="none"/>
              </w:rPr>
            </w:pPr>
          </w:p>
        </w:tc>
      </w:tr>
      <w:tr w14:paraId="61A064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5ED1477B">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2D890B59">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7F3F0B8F">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3DB5E8FC">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420AA01D">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54FF3C7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AC9150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F3D542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01F9A7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61F69A0">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047F5B7C">
            <w:pPr>
              <w:autoSpaceDE w:val="0"/>
              <w:autoSpaceDN w:val="0"/>
              <w:adjustRightInd w:val="0"/>
              <w:snapToGrid w:val="0"/>
              <w:jc w:val="left"/>
              <w:rPr>
                <w:rFonts w:ascii="宋体" w:hAnsi="宋体"/>
                <w:snapToGrid w:val="0"/>
                <w:kern w:val="0"/>
                <w:sz w:val="28"/>
                <w:szCs w:val="28"/>
                <w:highlight w:val="none"/>
              </w:rPr>
            </w:pPr>
          </w:p>
        </w:tc>
      </w:tr>
      <w:tr w14:paraId="5D900D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5453D080">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077D0628">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7BEDB16C">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01014FD6">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2F8C1D91">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254A6903">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8F7B88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AE8016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3B3985B">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10F547A">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2B4A1912">
            <w:pPr>
              <w:autoSpaceDE w:val="0"/>
              <w:autoSpaceDN w:val="0"/>
              <w:adjustRightInd w:val="0"/>
              <w:snapToGrid w:val="0"/>
              <w:jc w:val="left"/>
              <w:rPr>
                <w:rFonts w:ascii="宋体" w:hAnsi="宋体"/>
                <w:snapToGrid w:val="0"/>
                <w:kern w:val="0"/>
                <w:sz w:val="28"/>
                <w:szCs w:val="28"/>
                <w:highlight w:val="none"/>
              </w:rPr>
            </w:pPr>
          </w:p>
        </w:tc>
      </w:tr>
      <w:tr w14:paraId="186C78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30EC2D87">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7682DEA">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22E19F6E">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5365AD79">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099C20B1">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6FE7926E">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968096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B6C27F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235C4B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C180525">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6DD916A">
            <w:pPr>
              <w:autoSpaceDE w:val="0"/>
              <w:autoSpaceDN w:val="0"/>
              <w:adjustRightInd w:val="0"/>
              <w:snapToGrid w:val="0"/>
              <w:jc w:val="left"/>
              <w:rPr>
                <w:rFonts w:ascii="宋体" w:hAnsi="宋体"/>
                <w:snapToGrid w:val="0"/>
                <w:kern w:val="0"/>
                <w:sz w:val="28"/>
                <w:szCs w:val="28"/>
                <w:highlight w:val="none"/>
              </w:rPr>
            </w:pPr>
          </w:p>
        </w:tc>
      </w:tr>
      <w:tr w14:paraId="1017BE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702" w:type="dxa"/>
            <w:gridSpan w:val="3"/>
            <w:vAlign w:val="center"/>
          </w:tcPr>
          <w:p w14:paraId="28DCDDA4">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最高限价</w:t>
            </w:r>
          </w:p>
        </w:tc>
        <w:tc>
          <w:tcPr>
            <w:tcW w:w="7767" w:type="dxa"/>
            <w:gridSpan w:val="8"/>
            <w:vAlign w:val="center"/>
          </w:tcPr>
          <w:p w14:paraId="0E88C50C">
            <w:pPr>
              <w:autoSpaceDE w:val="0"/>
              <w:autoSpaceDN w:val="0"/>
              <w:adjustRightInd w:val="0"/>
              <w:snapToGrid w:val="0"/>
              <w:jc w:val="left"/>
              <w:rPr>
                <w:rFonts w:ascii="宋体" w:hAnsi="宋体"/>
                <w:snapToGrid w:val="0"/>
                <w:kern w:val="0"/>
                <w:szCs w:val="21"/>
                <w:highlight w:val="none"/>
              </w:rPr>
            </w:pPr>
          </w:p>
        </w:tc>
      </w:tr>
    </w:tbl>
    <w:p w14:paraId="76243D7E">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highlight w:val="none"/>
        </w:rPr>
      </w:pPr>
    </w:p>
    <w:p w14:paraId="5460758C">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highlight w:val="none"/>
        </w:rPr>
      </w:pPr>
      <w:r>
        <w:rPr>
          <w:rFonts w:hint="eastAsia" w:ascii="宋体" w:hAnsi="宋体"/>
          <w:snapToGrid w:val="0"/>
          <w:kern w:val="0"/>
          <w:szCs w:val="21"/>
          <w:highlight w:val="none"/>
          <w:lang w:eastAsia="zh-CN"/>
        </w:rPr>
        <w:t>比选</w:t>
      </w:r>
      <w:r>
        <w:rPr>
          <w:rFonts w:ascii="宋体" w:hAnsi="宋体"/>
          <w:snapToGrid w:val="0"/>
          <w:kern w:val="0"/>
          <w:szCs w:val="21"/>
          <w:highlight w:val="none"/>
        </w:rPr>
        <w:t>人代表：</w:t>
      </w:r>
      <w:r>
        <w:rPr>
          <w:rFonts w:hint="eastAsia" w:ascii="宋体" w:hAnsi="宋体" w:cs="MingLiU"/>
          <w:snapToGrid w:val="0"/>
          <w:w w:val="200"/>
          <w:kern w:val="0"/>
          <w:szCs w:val="21"/>
          <w:highlight w:val="none"/>
          <w:u w:val="single"/>
        </w:rPr>
        <w:t xml:space="preserve">          </w:t>
      </w:r>
      <w:r>
        <w:rPr>
          <w:rFonts w:ascii="宋体" w:hAnsi="宋体"/>
          <w:snapToGrid w:val="0"/>
          <w:kern w:val="0"/>
          <w:szCs w:val="21"/>
          <w:highlight w:val="none"/>
        </w:rPr>
        <w:t>记录人：</w:t>
      </w:r>
      <w:r>
        <w:rPr>
          <w:rFonts w:hint="eastAsia" w:ascii="宋体" w:hAnsi="宋体" w:cs="MingLiU"/>
          <w:snapToGrid w:val="0"/>
          <w:w w:val="200"/>
          <w:kern w:val="0"/>
          <w:szCs w:val="21"/>
          <w:highlight w:val="none"/>
          <w:u w:val="single"/>
        </w:rPr>
        <w:t xml:space="preserve">          </w:t>
      </w:r>
      <w:r>
        <w:rPr>
          <w:rFonts w:ascii="宋体" w:hAnsi="宋体"/>
          <w:snapToGrid w:val="0"/>
          <w:kern w:val="0"/>
          <w:szCs w:val="21"/>
          <w:highlight w:val="none"/>
        </w:rPr>
        <w:t xml:space="preserve"> 监标人：</w:t>
      </w:r>
      <w:r>
        <w:rPr>
          <w:rFonts w:hint="eastAsia" w:ascii="宋体" w:hAnsi="宋体" w:cs="MingLiU"/>
          <w:snapToGrid w:val="0"/>
          <w:w w:val="200"/>
          <w:kern w:val="0"/>
          <w:szCs w:val="21"/>
          <w:highlight w:val="none"/>
          <w:u w:val="single"/>
        </w:rPr>
        <w:t xml:space="preserve">          </w:t>
      </w:r>
    </w:p>
    <w:p w14:paraId="53F5BF23">
      <w:pPr>
        <w:autoSpaceDE w:val="0"/>
        <w:autoSpaceDN w:val="0"/>
        <w:adjustRightInd w:val="0"/>
        <w:snapToGrid w:val="0"/>
        <w:spacing w:before="62" w:beforeLines="20" w:line="360" w:lineRule="auto"/>
        <w:jc w:val="right"/>
        <w:rPr>
          <w:rFonts w:ascii="宋体" w:hAnsi="宋体"/>
          <w:snapToGrid w:val="0"/>
          <w:kern w:val="0"/>
          <w:sz w:val="24"/>
          <w:highlight w:val="none"/>
        </w:rPr>
      </w:pPr>
      <w:r>
        <w:rPr>
          <w:rFonts w:ascii="宋体" w:hAnsi="宋体"/>
          <w:snapToGrid w:val="0"/>
          <w:kern w:val="0"/>
          <w:sz w:val="24"/>
          <w:highlight w:val="none"/>
        </w:rPr>
        <w:t xml:space="preserve">                                       </w:t>
      </w:r>
      <w:r>
        <w:rPr>
          <w:rFonts w:ascii="宋体" w:hAnsi="宋体"/>
          <w:snapToGrid w:val="0"/>
          <w:kern w:val="0"/>
          <w:sz w:val="24"/>
          <w:highlight w:val="none"/>
          <w:u w:val="single"/>
        </w:rPr>
        <w:t xml:space="preserve">       </w:t>
      </w:r>
      <w:r>
        <w:rPr>
          <w:rFonts w:ascii="宋体" w:hAnsi="宋体"/>
          <w:snapToGrid w:val="0"/>
          <w:kern w:val="0"/>
          <w:sz w:val="24"/>
          <w:highlight w:val="none"/>
        </w:rPr>
        <w:t>年</w:t>
      </w:r>
      <w:r>
        <w:rPr>
          <w:rFonts w:ascii="宋体" w:hAnsi="宋体"/>
          <w:snapToGrid w:val="0"/>
          <w:kern w:val="0"/>
          <w:sz w:val="24"/>
          <w:highlight w:val="none"/>
          <w:u w:val="single"/>
        </w:rPr>
        <w:t xml:space="preserve">     </w:t>
      </w:r>
      <w:r>
        <w:rPr>
          <w:rFonts w:ascii="宋体" w:hAnsi="宋体"/>
          <w:snapToGrid w:val="0"/>
          <w:kern w:val="0"/>
          <w:sz w:val="24"/>
          <w:highlight w:val="none"/>
        </w:rPr>
        <w:t>月</w:t>
      </w:r>
      <w:r>
        <w:rPr>
          <w:rFonts w:ascii="宋体" w:hAnsi="宋体"/>
          <w:snapToGrid w:val="0"/>
          <w:kern w:val="0"/>
          <w:sz w:val="24"/>
          <w:highlight w:val="none"/>
          <w:u w:val="single"/>
        </w:rPr>
        <w:t xml:space="preserve">    </w:t>
      </w:r>
      <w:r>
        <w:rPr>
          <w:rFonts w:ascii="宋体" w:hAnsi="宋体"/>
          <w:snapToGrid w:val="0"/>
          <w:kern w:val="0"/>
          <w:sz w:val="24"/>
          <w:highlight w:val="none"/>
        </w:rPr>
        <w:t>日</w:t>
      </w:r>
    </w:p>
    <w:p w14:paraId="0CA44F77">
      <w:pPr>
        <w:autoSpaceDE w:val="0"/>
        <w:autoSpaceDN w:val="0"/>
        <w:adjustRightInd w:val="0"/>
        <w:snapToGrid w:val="0"/>
        <w:spacing w:line="360" w:lineRule="auto"/>
        <w:jc w:val="left"/>
        <w:rPr>
          <w:rFonts w:ascii="宋体" w:hAnsi="宋体"/>
          <w:b/>
          <w:snapToGrid w:val="0"/>
          <w:kern w:val="0"/>
          <w:highlight w:val="none"/>
        </w:rPr>
      </w:pPr>
    </w:p>
    <w:p w14:paraId="01AE4484">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highlight w:val="none"/>
        </w:rPr>
        <w:t>附表二：问题澄清通知</w:t>
      </w:r>
    </w:p>
    <w:p w14:paraId="3405BF5A">
      <w:pPr>
        <w:autoSpaceDE w:val="0"/>
        <w:autoSpaceDN w:val="0"/>
        <w:adjustRightInd w:val="0"/>
        <w:snapToGrid w:val="0"/>
        <w:spacing w:line="360" w:lineRule="auto"/>
        <w:jc w:val="left"/>
        <w:rPr>
          <w:rFonts w:ascii="宋体" w:hAnsi="宋体"/>
          <w:b/>
          <w:snapToGrid w:val="0"/>
          <w:kern w:val="0"/>
          <w:sz w:val="24"/>
          <w:highlight w:val="none"/>
        </w:rPr>
      </w:pPr>
    </w:p>
    <w:p w14:paraId="12D1D1D9">
      <w:pPr>
        <w:autoSpaceDE w:val="0"/>
        <w:autoSpaceDN w:val="0"/>
        <w:adjustRightInd w:val="0"/>
        <w:snapToGrid w:val="0"/>
        <w:spacing w:line="360" w:lineRule="auto"/>
        <w:jc w:val="center"/>
        <w:rPr>
          <w:rFonts w:hint="eastAsia" w:ascii="宋体" w:hAnsi="宋体"/>
          <w:b/>
          <w:snapToGrid w:val="0"/>
          <w:w w:val="99"/>
          <w:kern w:val="0"/>
          <w:sz w:val="32"/>
          <w:szCs w:val="32"/>
          <w:highlight w:val="none"/>
        </w:rPr>
      </w:pPr>
      <w:r>
        <w:rPr>
          <w:rFonts w:hint="eastAsia" w:ascii="宋体" w:hAnsi="宋体"/>
          <w:b/>
          <w:snapToGrid w:val="0"/>
          <w:w w:val="99"/>
          <w:kern w:val="0"/>
          <w:sz w:val="32"/>
          <w:szCs w:val="32"/>
          <w:highlight w:val="none"/>
        </w:rPr>
        <w:t>问题澄清通知</w:t>
      </w:r>
    </w:p>
    <w:p w14:paraId="4B3F3BFA">
      <w:pPr>
        <w:autoSpaceDE w:val="0"/>
        <w:autoSpaceDN w:val="0"/>
        <w:adjustRightInd w:val="0"/>
        <w:snapToGrid w:val="0"/>
        <w:spacing w:line="360" w:lineRule="auto"/>
        <w:jc w:val="left"/>
        <w:rPr>
          <w:rFonts w:ascii="宋体" w:hAnsi="宋体"/>
          <w:b/>
          <w:snapToGrid w:val="0"/>
          <w:kern w:val="0"/>
          <w:sz w:val="24"/>
          <w:highlight w:val="none"/>
        </w:rPr>
      </w:pPr>
    </w:p>
    <w:p w14:paraId="6C40A60C">
      <w:pPr>
        <w:autoSpaceDE w:val="0"/>
        <w:autoSpaceDN w:val="0"/>
        <w:adjustRightInd w:val="0"/>
        <w:snapToGrid w:val="0"/>
        <w:spacing w:line="360" w:lineRule="auto"/>
        <w:ind w:firstLine="3255" w:firstLineChars="1550"/>
        <w:jc w:val="left"/>
        <w:rPr>
          <w:rFonts w:hint="eastAsia" w:ascii="宋体" w:hAnsi="宋体"/>
          <w:snapToGrid w:val="0"/>
          <w:kern w:val="0"/>
          <w:szCs w:val="21"/>
          <w:highlight w:val="none"/>
          <w:u w:val="single"/>
        </w:rPr>
      </w:pPr>
      <w:r>
        <w:rPr>
          <w:rFonts w:ascii="宋体" w:hAnsi="宋体"/>
          <w:snapToGrid w:val="0"/>
          <w:kern w:val="0"/>
          <w:szCs w:val="21"/>
          <w:highlight w:val="none"/>
        </w:rPr>
        <w:t>编号：</w:t>
      </w:r>
      <w:r>
        <w:rPr>
          <w:rFonts w:hint="eastAsia" w:ascii="宋体" w:hAnsi="宋体"/>
          <w:snapToGrid w:val="0"/>
          <w:kern w:val="0"/>
          <w:szCs w:val="21"/>
          <w:highlight w:val="none"/>
          <w:u w:val="single"/>
        </w:rPr>
        <w:t xml:space="preserve">                     </w:t>
      </w:r>
    </w:p>
    <w:p w14:paraId="461BEF80">
      <w:pPr>
        <w:autoSpaceDE w:val="0"/>
        <w:autoSpaceDN w:val="0"/>
        <w:adjustRightInd w:val="0"/>
        <w:snapToGrid w:val="0"/>
        <w:spacing w:line="360" w:lineRule="auto"/>
        <w:jc w:val="left"/>
        <w:rPr>
          <w:rFonts w:ascii="宋体" w:hAnsi="宋体"/>
          <w:b/>
          <w:snapToGrid w:val="0"/>
          <w:kern w:val="0"/>
          <w:sz w:val="24"/>
          <w:highlight w:val="none"/>
        </w:rPr>
      </w:pPr>
    </w:p>
    <w:p w14:paraId="22674A84">
      <w:pPr>
        <w:autoSpaceDE w:val="0"/>
        <w:autoSpaceDN w:val="0"/>
        <w:adjustRightInd w:val="0"/>
        <w:snapToGrid w:val="0"/>
        <w:spacing w:line="360" w:lineRule="auto"/>
        <w:ind w:firstLine="140" w:firstLineChars="50"/>
        <w:rPr>
          <w:rFonts w:ascii="宋体" w:hAnsi="宋体"/>
          <w:snapToGrid w:val="0"/>
          <w:kern w:val="0"/>
          <w:sz w:val="28"/>
          <w:szCs w:val="28"/>
          <w:highlight w:val="none"/>
        </w:rPr>
      </w:pPr>
    </w:p>
    <w:p w14:paraId="28CE1794">
      <w:pPr>
        <w:tabs>
          <w:tab w:val="left" w:pos="158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（投标人名称）：</w:t>
      </w:r>
    </w:p>
    <w:p w14:paraId="5AB7BFA4">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（项目名称）</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标段施工招标的评标委员会，对你方的投标文件进行了仔细的审查，现需你方对下列问题以书面形式予以澄清：</w:t>
      </w:r>
    </w:p>
    <w:p w14:paraId="0991A703">
      <w:pPr>
        <w:autoSpaceDE w:val="0"/>
        <w:autoSpaceDN w:val="0"/>
        <w:adjustRightInd w:val="0"/>
        <w:snapToGrid w:val="0"/>
        <w:spacing w:line="360" w:lineRule="auto"/>
        <w:jc w:val="left"/>
        <w:rPr>
          <w:rFonts w:hint="eastAsia" w:ascii="宋体" w:hAnsi="宋体"/>
          <w:snapToGrid w:val="0"/>
          <w:kern w:val="0"/>
          <w:sz w:val="24"/>
          <w:highlight w:val="none"/>
        </w:rPr>
      </w:pPr>
    </w:p>
    <w:p w14:paraId="40E5EB24">
      <w:pPr>
        <w:autoSpaceDE w:val="0"/>
        <w:autoSpaceDN w:val="0"/>
        <w:adjustRightInd w:val="0"/>
        <w:snapToGrid w:val="0"/>
        <w:spacing w:line="360" w:lineRule="auto"/>
        <w:jc w:val="left"/>
        <w:rPr>
          <w:rFonts w:hint="eastAsia" w:ascii="宋体" w:hAnsi="宋体"/>
          <w:snapToGrid w:val="0"/>
          <w:kern w:val="0"/>
          <w:sz w:val="24"/>
          <w:highlight w:val="none"/>
        </w:rPr>
      </w:pPr>
    </w:p>
    <w:p w14:paraId="670B3B1C">
      <w:pPr>
        <w:autoSpaceDE w:val="0"/>
        <w:autoSpaceDN w:val="0"/>
        <w:adjustRightInd w:val="0"/>
        <w:snapToGrid w:val="0"/>
        <w:spacing w:line="360" w:lineRule="auto"/>
        <w:jc w:val="left"/>
        <w:rPr>
          <w:rFonts w:hint="eastAsia" w:ascii="宋体" w:hAnsi="宋体"/>
          <w:snapToGrid w:val="0"/>
          <w:kern w:val="0"/>
          <w:szCs w:val="21"/>
          <w:highlight w:val="none"/>
        </w:rPr>
      </w:pPr>
      <w:r>
        <w:rPr>
          <w:rFonts w:ascii="宋体" w:hAnsi="宋体"/>
          <w:snapToGrid w:val="0"/>
          <w:kern w:val="0"/>
          <w:szCs w:val="21"/>
          <w:highlight w:val="none"/>
        </w:rPr>
        <w:t xml:space="preserve">1. </w:t>
      </w:r>
    </w:p>
    <w:p w14:paraId="2A5F437D">
      <w:pPr>
        <w:autoSpaceDE w:val="0"/>
        <w:autoSpaceDN w:val="0"/>
        <w:adjustRightInd w:val="0"/>
        <w:snapToGrid w:val="0"/>
        <w:spacing w:line="360" w:lineRule="auto"/>
        <w:jc w:val="left"/>
        <w:rPr>
          <w:rFonts w:hint="eastAsia" w:ascii="宋体" w:hAnsi="宋体"/>
          <w:snapToGrid w:val="0"/>
          <w:kern w:val="0"/>
          <w:szCs w:val="21"/>
          <w:highlight w:val="none"/>
        </w:rPr>
      </w:pPr>
    </w:p>
    <w:p w14:paraId="224140A7">
      <w:pPr>
        <w:autoSpaceDE w:val="0"/>
        <w:autoSpaceDN w:val="0"/>
        <w:adjustRightInd w:val="0"/>
        <w:snapToGrid w:val="0"/>
        <w:spacing w:line="360" w:lineRule="auto"/>
        <w:jc w:val="left"/>
        <w:rPr>
          <w:rFonts w:hint="eastAsia" w:ascii="宋体" w:hAnsi="宋体"/>
          <w:snapToGrid w:val="0"/>
          <w:kern w:val="0"/>
          <w:szCs w:val="21"/>
          <w:highlight w:val="none"/>
        </w:rPr>
      </w:pPr>
    </w:p>
    <w:p w14:paraId="5E25467F">
      <w:pPr>
        <w:autoSpaceDE w:val="0"/>
        <w:autoSpaceDN w:val="0"/>
        <w:adjustRightInd w:val="0"/>
        <w:snapToGrid w:val="0"/>
        <w:spacing w:line="360" w:lineRule="auto"/>
        <w:jc w:val="left"/>
        <w:rPr>
          <w:rFonts w:hint="eastAsia" w:ascii="宋体" w:hAnsi="宋体"/>
          <w:snapToGrid w:val="0"/>
          <w:kern w:val="0"/>
          <w:szCs w:val="21"/>
          <w:highlight w:val="none"/>
        </w:rPr>
      </w:pPr>
    </w:p>
    <w:p w14:paraId="5BE7849C">
      <w:pPr>
        <w:autoSpaceDE w:val="0"/>
        <w:autoSpaceDN w:val="0"/>
        <w:adjustRightInd w:val="0"/>
        <w:snapToGrid w:val="0"/>
        <w:spacing w:line="360" w:lineRule="auto"/>
        <w:jc w:val="left"/>
        <w:rPr>
          <w:rFonts w:ascii="宋体" w:hAnsi="宋体"/>
          <w:snapToGrid w:val="0"/>
          <w:kern w:val="0"/>
          <w:sz w:val="18"/>
          <w:szCs w:val="18"/>
          <w:highlight w:val="none"/>
        </w:rPr>
      </w:pPr>
    </w:p>
    <w:p w14:paraId="6FE80994">
      <w:pPr>
        <w:autoSpaceDE w:val="0"/>
        <w:autoSpaceDN w:val="0"/>
        <w:adjustRightInd w:val="0"/>
        <w:snapToGrid w:val="0"/>
        <w:spacing w:line="360" w:lineRule="auto"/>
        <w:jc w:val="left"/>
        <w:rPr>
          <w:rFonts w:hint="eastAsia" w:ascii="宋体" w:hAnsi="宋体"/>
          <w:snapToGrid w:val="0"/>
          <w:kern w:val="0"/>
          <w:szCs w:val="21"/>
          <w:highlight w:val="none"/>
        </w:rPr>
      </w:pPr>
      <w:r>
        <w:rPr>
          <w:rFonts w:ascii="宋体" w:hAnsi="宋体"/>
          <w:snapToGrid w:val="0"/>
          <w:kern w:val="0"/>
          <w:szCs w:val="21"/>
          <w:highlight w:val="none"/>
        </w:rPr>
        <w:t xml:space="preserve">2. </w:t>
      </w:r>
    </w:p>
    <w:p w14:paraId="7E7B6FD5">
      <w:pPr>
        <w:autoSpaceDE w:val="0"/>
        <w:autoSpaceDN w:val="0"/>
        <w:adjustRightInd w:val="0"/>
        <w:snapToGrid w:val="0"/>
        <w:spacing w:line="360" w:lineRule="auto"/>
        <w:jc w:val="left"/>
        <w:rPr>
          <w:rFonts w:ascii="宋体" w:hAnsi="宋体"/>
          <w:snapToGrid w:val="0"/>
          <w:kern w:val="0"/>
          <w:sz w:val="18"/>
          <w:szCs w:val="18"/>
          <w:highlight w:val="none"/>
        </w:rPr>
      </w:pPr>
    </w:p>
    <w:p w14:paraId="5CFDB63F">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14:paraId="26F662E0">
      <w:pPr>
        <w:autoSpaceDE w:val="0"/>
        <w:autoSpaceDN w:val="0"/>
        <w:adjustRightInd w:val="0"/>
        <w:snapToGrid w:val="0"/>
        <w:spacing w:line="360" w:lineRule="auto"/>
        <w:jc w:val="left"/>
        <w:rPr>
          <w:rFonts w:hint="eastAsia" w:ascii="宋体" w:hAnsi="宋体"/>
          <w:snapToGrid w:val="0"/>
          <w:kern w:val="0"/>
          <w:sz w:val="14"/>
          <w:szCs w:val="14"/>
          <w:highlight w:val="none"/>
        </w:rPr>
      </w:pPr>
    </w:p>
    <w:p w14:paraId="39CA5335">
      <w:pPr>
        <w:autoSpaceDE w:val="0"/>
        <w:autoSpaceDN w:val="0"/>
        <w:adjustRightInd w:val="0"/>
        <w:snapToGrid w:val="0"/>
        <w:spacing w:line="360" w:lineRule="auto"/>
        <w:jc w:val="left"/>
        <w:rPr>
          <w:rFonts w:hint="eastAsia" w:ascii="宋体" w:hAnsi="宋体"/>
          <w:snapToGrid w:val="0"/>
          <w:kern w:val="0"/>
          <w:sz w:val="14"/>
          <w:szCs w:val="14"/>
          <w:highlight w:val="none"/>
        </w:rPr>
      </w:pPr>
    </w:p>
    <w:p w14:paraId="4B3DE162">
      <w:pPr>
        <w:autoSpaceDE w:val="0"/>
        <w:autoSpaceDN w:val="0"/>
        <w:adjustRightInd w:val="0"/>
        <w:snapToGrid w:val="0"/>
        <w:spacing w:line="360" w:lineRule="auto"/>
        <w:jc w:val="left"/>
        <w:rPr>
          <w:rFonts w:hint="eastAsia" w:ascii="宋体" w:hAnsi="宋体"/>
          <w:snapToGrid w:val="0"/>
          <w:kern w:val="0"/>
          <w:sz w:val="14"/>
          <w:szCs w:val="14"/>
          <w:highlight w:val="none"/>
        </w:rPr>
      </w:pPr>
    </w:p>
    <w:p w14:paraId="68B261EB">
      <w:pPr>
        <w:autoSpaceDE w:val="0"/>
        <w:autoSpaceDN w:val="0"/>
        <w:adjustRightInd w:val="0"/>
        <w:snapToGrid w:val="0"/>
        <w:spacing w:line="360" w:lineRule="auto"/>
        <w:jc w:val="left"/>
        <w:rPr>
          <w:rFonts w:ascii="宋体" w:hAnsi="宋体"/>
          <w:snapToGrid w:val="0"/>
          <w:kern w:val="0"/>
          <w:sz w:val="20"/>
          <w:szCs w:val="20"/>
          <w:highlight w:val="none"/>
        </w:rPr>
      </w:pPr>
    </w:p>
    <w:p w14:paraId="2BD30FB5">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highlight w:val="none"/>
        </w:rPr>
      </w:pPr>
      <w:r>
        <w:rPr>
          <w:rFonts w:ascii="宋体" w:hAnsi="宋体"/>
          <w:snapToGrid w:val="0"/>
          <w:kern w:val="0"/>
          <w:szCs w:val="21"/>
          <w:highlight w:val="none"/>
        </w:rPr>
        <w:t>请将上述问题的澄清于</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时前递交至</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（详细地址）或传真至</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（传真号码）。采用传真方式的，应在</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时前将原件递交至</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（详细地址）。</w:t>
      </w:r>
    </w:p>
    <w:p w14:paraId="27918F52">
      <w:pPr>
        <w:autoSpaceDE w:val="0"/>
        <w:autoSpaceDN w:val="0"/>
        <w:adjustRightInd w:val="0"/>
        <w:snapToGrid w:val="0"/>
        <w:spacing w:line="360" w:lineRule="auto"/>
        <w:jc w:val="left"/>
        <w:rPr>
          <w:rFonts w:ascii="宋体" w:hAnsi="宋体"/>
          <w:snapToGrid w:val="0"/>
          <w:kern w:val="0"/>
          <w:sz w:val="28"/>
          <w:szCs w:val="28"/>
          <w:highlight w:val="none"/>
        </w:rPr>
      </w:pPr>
    </w:p>
    <w:p w14:paraId="2E84676D">
      <w:pPr>
        <w:tabs>
          <w:tab w:val="left" w:pos="6400"/>
        </w:tabs>
        <w:autoSpaceDE w:val="0"/>
        <w:autoSpaceDN w:val="0"/>
        <w:adjustRightInd w:val="0"/>
        <w:snapToGrid w:val="0"/>
        <w:spacing w:line="360" w:lineRule="auto"/>
        <w:jc w:val="right"/>
        <w:rPr>
          <w:rFonts w:ascii="宋体" w:hAnsi="宋体"/>
          <w:snapToGrid w:val="0"/>
          <w:kern w:val="0"/>
          <w:sz w:val="24"/>
          <w:highlight w:val="none"/>
        </w:rPr>
      </w:pPr>
      <w:r>
        <w:rPr>
          <w:rFonts w:ascii="宋体" w:hAnsi="宋体"/>
          <w:snapToGrid w:val="0"/>
          <w:kern w:val="0"/>
          <w:szCs w:val="21"/>
          <w:highlight w:val="none"/>
        </w:rPr>
        <w:t xml:space="preserve">                        评标委员会：</w:t>
      </w:r>
      <w:r>
        <w:rPr>
          <w:rFonts w:ascii="宋体" w:hAnsi="宋体"/>
          <w:snapToGrid w:val="0"/>
          <w:kern w:val="0"/>
          <w:szCs w:val="21"/>
          <w:highlight w:val="none"/>
          <w:u w:val="single"/>
        </w:rPr>
        <w:t xml:space="preserve">                   </w:t>
      </w:r>
      <w:r>
        <w:rPr>
          <w:rFonts w:ascii="宋体" w:hAnsi="宋体"/>
          <w:snapToGrid w:val="0"/>
          <w:kern w:val="0"/>
          <w:szCs w:val="21"/>
          <w:highlight w:val="none"/>
        </w:rPr>
        <w:t>（签字）</w:t>
      </w:r>
      <w:r>
        <w:rPr>
          <w:rFonts w:ascii="宋体" w:hAnsi="宋体"/>
          <w:snapToGrid w:val="0"/>
          <w:kern w:val="0"/>
          <w:sz w:val="24"/>
          <w:highlight w:val="none"/>
        </w:rPr>
        <w:t xml:space="preserve"> </w:t>
      </w:r>
    </w:p>
    <w:p w14:paraId="2378CB68">
      <w:pPr>
        <w:autoSpaceDE w:val="0"/>
        <w:autoSpaceDN w:val="0"/>
        <w:adjustRightInd w:val="0"/>
        <w:snapToGrid w:val="0"/>
        <w:spacing w:line="360" w:lineRule="auto"/>
        <w:ind w:firstLine="315" w:firstLineChars="150"/>
        <w:jc w:val="right"/>
        <w:rPr>
          <w:rFonts w:ascii="宋体" w:hAnsi="宋体"/>
          <w:snapToGrid w:val="0"/>
          <w:kern w:val="0"/>
          <w:szCs w:val="21"/>
          <w:highlight w:val="none"/>
        </w:rPr>
      </w:pPr>
      <w:r>
        <w:rPr>
          <w:rFonts w:ascii="宋体" w:hAnsi="宋体"/>
          <w:snapToGrid w:val="0"/>
          <w:kern w:val="0"/>
          <w:szCs w:val="21"/>
          <w:highlight w:val="none"/>
        </w:rPr>
        <w:t xml:space="preserve">                            </w:t>
      </w:r>
    </w:p>
    <w:p w14:paraId="3BC4824E">
      <w:pPr>
        <w:wordWrap w:val="0"/>
        <w:autoSpaceDE w:val="0"/>
        <w:autoSpaceDN w:val="0"/>
        <w:adjustRightInd w:val="0"/>
        <w:snapToGrid w:val="0"/>
        <w:spacing w:line="360" w:lineRule="auto"/>
        <w:ind w:firstLine="850" w:firstLineChars="405"/>
        <w:jc w:val="right"/>
        <w:rPr>
          <w:rFonts w:hint="eastAsia" w:ascii="宋体" w:hAnsi="宋体"/>
          <w:snapToGrid w:val="0"/>
          <w:kern w:val="0"/>
          <w:szCs w:val="21"/>
          <w:highlight w:val="none"/>
        </w:rPr>
      </w:pPr>
      <w:r>
        <w:rPr>
          <w:rFonts w:ascii="宋体" w:hAnsi="宋体"/>
          <w:snapToGrid w:val="0"/>
          <w:kern w:val="0"/>
          <w:szCs w:val="21"/>
          <w:highlight w:val="non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rPr>
        <w:t xml:space="preserve">  </w:t>
      </w:r>
    </w:p>
    <w:p w14:paraId="38CB3725">
      <w:pPr>
        <w:autoSpaceDE w:val="0"/>
        <w:autoSpaceDN w:val="0"/>
        <w:adjustRightInd w:val="0"/>
        <w:snapToGrid w:val="0"/>
        <w:spacing w:line="360" w:lineRule="auto"/>
        <w:jc w:val="left"/>
        <w:rPr>
          <w:rFonts w:ascii="宋体" w:hAnsi="宋体"/>
          <w:b/>
          <w:snapToGrid w:val="0"/>
          <w:kern w:val="0"/>
          <w:highlight w:val="none"/>
        </w:rPr>
      </w:pPr>
    </w:p>
    <w:p w14:paraId="6E1C9EAD">
      <w:pPr>
        <w:keepNext/>
        <w:keepLines/>
        <w:pageBreakBefore/>
        <w:widowControl w:val="0"/>
        <w:kinsoku/>
        <w:wordWrap/>
        <w:overflowPunct/>
        <w:topLinePunct w:val="0"/>
        <w:autoSpaceDE w:val="0"/>
        <w:autoSpaceDN w:val="0"/>
        <w:bidi w:val="0"/>
        <w:adjustRightInd w:val="0"/>
        <w:snapToGrid w:val="0"/>
        <w:spacing w:line="360" w:lineRule="auto"/>
        <w:jc w:val="left"/>
        <w:textAlignment w:val="auto"/>
        <w:rPr>
          <w:rFonts w:ascii="宋体" w:hAnsi="宋体"/>
          <w:b/>
          <w:snapToGrid w:val="0"/>
          <w:kern w:val="0"/>
          <w:highlight w:val="none"/>
        </w:rPr>
      </w:pPr>
      <w:r>
        <w:rPr>
          <w:rFonts w:ascii="宋体" w:hAnsi="宋体"/>
          <w:b/>
          <w:snapToGrid w:val="0"/>
          <w:kern w:val="0"/>
          <w:highlight w:val="none"/>
        </w:rPr>
        <w:t>附表三：问题的澄清</w:t>
      </w:r>
    </w:p>
    <w:p w14:paraId="363E3B92">
      <w:pPr>
        <w:autoSpaceDE w:val="0"/>
        <w:autoSpaceDN w:val="0"/>
        <w:adjustRightInd w:val="0"/>
        <w:snapToGrid w:val="0"/>
        <w:spacing w:line="360" w:lineRule="auto"/>
        <w:jc w:val="left"/>
        <w:rPr>
          <w:rFonts w:ascii="宋体" w:hAnsi="宋体"/>
          <w:b/>
          <w:snapToGrid w:val="0"/>
          <w:kern w:val="0"/>
          <w:sz w:val="10"/>
          <w:szCs w:val="10"/>
          <w:highlight w:val="none"/>
        </w:rPr>
      </w:pPr>
    </w:p>
    <w:p w14:paraId="785276EB">
      <w:pPr>
        <w:autoSpaceDE w:val="0"/>
        <w:autoSpaceDN w:val="0"/>
        <w:adjustRightInd w:val="0"/>
        <w:snapToGrid w:val="0"/>
        <w:spacing w:line="360" w:lineRule="auto"/>
        <w:jc w:val="center"/>
        <w:rPr>
          <w:rFonts w:ascii="宋体" w:hAnsi="宋体"/>
          <w:b/>
          <w:snapToGrid w:val="0"/>
          <w:kern w:val="0"/>
          <w:sz w:val="32"/>
          <w:szCs w:val="32"/>
          <w:highlight w:val="none"/>
        </w:rPr>
      </w:pPr>
      <w:r>
        <w:rPr>
          <w:rFonts w:ascii="宋体" w:hAnsi="宋体"/>
          <w:b/>
          <w:snapToGrid w:val="0"/>
          <w:w w:val="99"/>
          <w:kern w:val="0"/>
          <w:sz w:val="32"/>
          <w:szCs w:val="32"/>
          <w:highlight w:val="none"/>
        </w:rPr>
        <w:t>问题的澄清</w:t>
      </w:r>
    </w:p>
    <w:p w14:paraId="0F5430E9">
      <w:pPr>
        <w:autoSpaceDE w:val="0"/>
        <w:autoSpaceDN w:val="0"/>
        <w:adjustRightInd w:val="0"/>
        <w:snapToGrid w:val="0"/>
        <w:spacing w:line="360" w:lineRule="auto"/>
        <w:ind w:firstLine="3255" w:firstLineChars="1550"/>
        <w:jc w:val="left"/>
        <w:rPr>
          <w:rFonts w:hint="eastAsia" w:ascii="宋体" w:hAnsi="宋体"/>
          <w:snapToGrid w:val="0"/>
          <w:kern w:val="0"/>
          <w:szCs w:val="21"/>
          <w:highlight w:val="none"/>
        </w:rPr>
      </w:pPr>
    </w:p>
    <w:p w14:paraId="1BEB3264">
      <w:pPr>
        <w:autoSpaceDE w:val="0"/>
        <w:autoSpaceDN w:val="0"/>
        <w:adjustRightInd w:val="0"/>
        <w:snapToGrid w:val="0"/>
        <w:spacing w:line="360" w:lineRule="auto"/>
        <w:ind w:firstLine="3255" w:firstLineChars="1550"/>
        <w:jc w:val="left"/>
        <w:rPr>
          <w:rFonts w:ascii="宋体" w:hAnsi="宋体"/>
          <w:snapToGrid w:val="0"/>
          <w:kern w:val="0"/>
          <w:szCs w:val="21"/>
          <w:highlight w:val="none"/>
          <w:u w:val="single"/>
        </w:rPr>
      </w:pPr>
      <w:r>
        <w:rPr>
          <w:rFonts w:ascii="宋体" w:hAnsi="宋体"/>
          <w:snapToGrid w:val="0"/>
          <w:kern w:val="0"/>
          <w:szCs w:val="21"/>
          <w:highlight w:val="none"/>
        </w:rPr>
        <w:t>编号：</w:t>
      </w:r>
      <w:r>
        <w:rPr>
          <w:rFonts w:hint="eastAsia" w:ascii="宋体" w:hAnsi="宋体"/>
          <w:snapToGrid w:val="0"/>
          <w:kern w:val="0"/>
          <w:szCs w:val="21"/>
          <w:highlight w:val="none"/>
          <w:u w:val="single"/>
        </w:rPr>
        <w:t xml:space="preserve">                     </w:t>
      </w:r>
    </w:p>
    <w:p w14:paraId="04EE04C1">
      <w:pPr>
        <w:autoSpaceDE w:val="0"/>
        <w:autoSpaceDN w:val="0"/>
        <w:adjustRightInd w:val="0"/>
        <w:snapToGrid w:val="0"/>
        <w:spacing w:line="360" w:lineRule="auto"/>
        <w:ind w:firstLine="3150" w:firstLineChars="1500"/>
        <w:rPr>
          <w:rFonts w:hint="eastAsia" w:ascii="宋体" w:hAnsi="宋体"/>
          <w:snapToGrid w:val="0"/>
          <w:kern w:val="0"/>
          <w:szCs w:val="21"/>
          <w:highlight w:val="none"/>
        </w:rPr>
      </w:pPr>
    </w:p>
    <w:p w14:paraId="0FF62ED7">
      <w:pPr>
        <w:autoSpaceDE w:val="0"/>
        <w:autoSpaceDN w:val="0"/>
        <w:adjustRightInd w:val="0"/>
        <w:snapToGrid w:val="0"/>
        <w:spacing w:line="360" w:lineRule="auto"/>
        <w:ind w:firstLine="3150" w:firstLineChars="1500"/>
        <w:rPr>
          <w:rFonts w:hint="eastAsia" w:ascii="宋体" w:hAnsi="宋体"/>
          <w:snapToGrid w:val="0"/>
          <w:kern w:val="0"/>
          <w:szCs w:val="21"/>
          <w:highlight w:val="none"/>
        </w:rPr>
      </w:pPr>
    </w:p>
    <w:p w14:paraId="6E55F8E9">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（项目名称）</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rPr>
        <w:t>标段施工招标评标委员会：</w:t>
      </w:r>
    </w:p>
    <w:p w14:paraId="63F8F26C">
      <w:pPr>
        <w:tabs>
          <w:tab w:val="left" w:pos="2000"/>
          <w:tab w:val="left" w:pos="3480"/>
          <w:tab w:val="left" w:pos="4200"/>
        </w:tabs>
        <w:autoSpaceDE w:val="0"/>
        <w:autoSpaceDN w:val="0"/>
        <w:adjustRightInd w:val="0"/>
        <w:snapToGrid w:val="0"/>
        <w:spacing w:line="480" w:lineRule="auto"/>
        <w:jc w:val="left"/>
        <w:rPr>
          <w:rFonts w:hint="eastAsia" w:ascii="宋体" w:hAnsi="宋体"/>
          <w:snapToGrid w:val="0"/>
          <w:kern w:val="0"/>
          <w:szCs w:val="21"/>
          <w:highlight w:val="none"/>
        </w:rPr>
      </w:pPr>
      <w:r>
        <w:rPr>
          <w:rFonts w:ascii="宋体" w:hAnsi="宋体"/>
          <w:snapToGrid w:val="0"/>
          <w:kern w:val="0"/>
          <w:szCs w:val="21"/>
          <w:highlight w:val="none"/>
        </w:rPr>
        <w:t>问题澄清通知（编号：</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）已收悉，现澄清如下：</w:t>
      </w:r>
    </w:p>
    <w:p w14:paraId="0FDCD429">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highlight w:val="none"/>
        </w:rPr>
      </w:pPr>
    </w:p>
    <w:p w14:paraId="3414812F">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highlight w:val="none"/>
        </w:rPr>
      </w:pPr>
    </w:p>
    <w:p w14:paraId="34366C34">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1. </w:t>
      </w:r>
    </w:p>
    <w:p w14:paraId="0456AC93">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5178F3BA">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46E74473">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3CA995A9">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7D1C80CC">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23E340ED">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2. </w:t>
      </w:r>
    </w:p>
    <w:p w14:paraId="36D70E6A">
      <w:pPr>
        <w:autoSpaceDE w:val="0"/>
        <w:autoSpaceDN w:val="0"/>
        <w:adjustRightInd w:val="0"/>
        <w:snapToGrid w:val="0"/>
        <w:spacing w:line="360" w:lineRule="auto"/>
        <w:jc w:val="left"/>
        <w:rPr>
          <w:rFonts w:ascii="宋体" w:hAnsi="宋体"/>
          <w:snapToGrid w:val="0"/>
          <w:kern w:val="0"/>
          <w:sz w:val="20"/>
          <w:szCs w:val="20"/>
          <w:highlight w:val="none"/>
        </w:rPr>
      </w:pPr>
    </w:p>
    <w:p w14:paraId="42CA3218">
      <w:pPr>
        <w:autoSpaceDE w:val="0"/>
        <w:autoSpaceDN w:val="0"/>
        <w:adjustRightInd w:val="0"/>
        <w:snapToGrid w:val="0"/>
        <w:spacing w:line="360" w:lineRule="auto"/>
        <w:jc w:val="left"/>
        <w:rPr>
          <w:rFonts w:hint="eastAsia" w:ascii="宋体" w:hAnsi="宋体"/>
          <w:snapToGrid w:val="0"/>
          <w:kern w:val="0"/>
          <w:sz w:val="20"/>
          <w:szCs w:val="20"/>
          <w:highlight w:val="none"/>
        </w:rPr>
      </w:pPr>
    </w:p>
    <w:p w14:paraId="3D867ACB">
      <w:pPr>
        <w:autoSpaceDE w:val="0"/>
        <w:autoSpaceDN w:val="0"/>
        <w:adjustRightInd w:val="0"/>
        <w:snapToGrid w:val="0"/>
        <w:spacing w:line="360" w:lineRule="auto"/>
        <w:jc w:val="left"/>
        <w:rPr>
          <w:rFonts w:hint="eastAsia" w:ascii="宋体" w:hAnsi="宋体"/>
          <w:snapToGrid w:val="0"/>
          <w:kern w:val="0"/>
          <w:sz w:val="20"/>
          <w:szCs w:val="20"/>
          <w:highlight w:val="none"/>
        </w:rPr>
      </w:pPr>
    </w:p>
    <w:p w14:paraId="5B84E2EC">
      <w:pPr>
        <w:autoSpaceDE w:val="0"/>
        <w:autoSpaceDN w:val="0"/>
        <w:adjustRightInd w:val="0"/>
        <w:snapToGrid w:val="0"/>
        <w:spacing w:line="360" w:lineRule="auto"/>
        <w:jc w:val="left"/>
        <w:rPr>
          <w:rFonts w:hint="eastAsia" w:ascii="宋体" w:hAnsi="宋体"/>
          <w:snapToGrid w:val="0"/>
          <w:kern w:val="0"/>
          <w:sz w:val="20"/>
          <w:szCs w:val="20"/>
          <w:highlight w:val="none"/>
        </w:rPr>
      </w:pPr>
    </w:p>
    <w:p w14:paraId="761E2037">
      <w:pPr>
        <w:autoSpaceDE w:val="0"/>
        <w:autoSpaceDN w:val="0"/>
        <w:adjustRightInd w:val="0"/>
        <w:snapToGrid w:val="0"/>
        <w:spacing w:line="360" w:lineRule="auto"/>
        <w:jc w:val="left"/>
        <w:rPr>
          <w:rFonts w:ascii="宋体" w:hAnsi="宋体"/>
          <w:snapToGrid w:val="0"/>
          <w:kern w:val="0"/>
          <w:sz w:val="22"/>
          <w:szCs w:val="22"/>
          <w:highlight w:val="none"/>
        </w:rPr>
      </w:pPr>
    </w:p>
    <w:p w14:paraId="65A519CB">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14:paraId="28B8FCD7">
      <w:pPr>
        <w:autoSpaceDE w:val="0"/>
        <w:autoSpaceDN w:val="0"/>
        <w:adjustRightInd w:val="0"/>
        <w:snapToGrid w:val="0"/>
        <w:spacing w:line="360" w:lineRule="auto"/>
        <w:jc w:val="left"/>
        <w:rPr>
          <w:rFonts w:ascii="宋体" w:hAnsi="宋体"/>
          <w:snapToGrid w:val="0"/>
          <w:kern w:val="0"/>
          <w:sz w:val="18"/>
          <w:szCs w:val="18"/>
          <w:highlight w:val="none"/>
        </w:rPr>
      </w:pPr>
    </w:p>
    <w:p w14:paraId="29F5B246">
      <w:pPr>
        <w:autoSpaceDE w:val="0"/>
        <w:autoSpaceDN w:val="0"/>
        <w:adjustRightInd w:val="0"/>
        <w:snapToGrid w:val="0"/>
        <w:spacing w:line="360" w:lineRule="auto"/>
        <w:jc w:val="left"/>
        <w:rPr>
          <w:rFonts w:ascii="宋体" w:hAnsi="宋体"/>
          <w:snapToGrid w:val="0"/>
          <w:kern w:val="0"/>
          <w:sz w:val="20"/>
          <w:szCs w:val="20"/>
          <w:highlight w:val="none"/>
        </w:rPr>
      </w:pPr>
    </w:p>
    <w:p w14:paraId="59DBFAEC">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投标人：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rPr>
        <w:t xml:space="preserve">（盖单位法人章） </w:t>
      </w:r>
    </w:p>
    <w:p w14:paraId="14238801">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（签字或盖章）</w:t>
      </w:r>
    </w:p>
    <w:p w14:paraId="6E078FB8">
      <w:pPr>
        <w:autoSpaceDE w:val="0"/>
        <w:autoSpaceDN w:val="0"/>
        <w:adjustRightInd w:val="0"/>
        <w:snapToGrid w:val="0"/>
        <w:spacing w:line="360" w:lineRule="auto"/>
        <w:jc w:val="right"/>
        <w:rPr>
          <w:rFonts w:ascii="宋体" w:hAnsi="宋体"/>
          <w:snapToGrid w:val="0"/>
          <w:kern w:val="0"/>
          <w:sz w:val="20"/>
          <w:szCs w:val="20"/>
          <w:highlight w:val="none"/>
        </w:rPr>
      </w:pPr>
    </w:p>
    <w:p w14:paraId="32F57B6D">
      <w:pPr>
        <w:wordWrap w:val="0"/>
        <w:autoSpaceDE w:val="0"/>
        <w:autoSpaceDN w:val="0"/>
        <w:adjustRightInd w:val="0"/>
        <w:snapToGrid w:val="0"/>
        <w:spacing w:line="360" w:lineRule="auto"/>
        <w:ind w:firstLine="315" w:firstLineChars="150"/>
        <w:jc w:val="right"/>
        <w:rPr>
          <w:rFonts w:ascii="宋体" w:hAnsi="宋体"/>
          <w:snapToGrid w:val="0"/>
          <w:kern w:val="0"/>
          <w:szCs w:val="21"/>
          <w:highlight w:val="none"/>
        </w:rPr>
      </w:pPr>
    </w:p>
    <w:p w14:paraId="72FA40F7">
      <w:pPr>
        <w:wordWrap w:val="0"/>
        <w:autoSpaceDE w:val="0"/>
        <w:autoSpaceDN w:val="0"/>
        <w:adjustRightInd w:val="0"/>
        <w:snapToGrid w:val="0"/>
        <w:spacing w:line="360" w:lineRule="auto"/>
        <w:ind w:firstLine="315" w:firstLineChars="150"/>
        <w:jc w:val="right"/>
        <w:rPr>
          <w:rFonts w:hint="eastAsia" w:ascii="宋体" w:hAnsi="宋体"/>
          <w:snapToGrid w:val="0"/>
          <w:kern w:val="0"/>
          <w:szCs w:val="21"/>
          <w:highlight w:val="none"/>
        </w:rPr>
      </w:pPr>
      <w:r>
        <w:rPr>
          <w:rFonts w:ascii="宋体" w:hAnsi="宋体"/>
          <w:snapToGrid w:val="0"/>
          <w:kern w:val="0"/>
          <w:szCs w:val="21"/>
          <w:highlight w:val="non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rPr>
        <w:t xml:space="preserve"> </w:t>
      </w:r>
    </w:p>
    <w:p w14:paraId="02696961">
      <w:pPr>
        <w:keepNext/>
        <w:keepLines/>
        <w:pageBreakBefore/>
        <w:widowControl w:val="0"/>
        <w:kinsoku/>
        <w:wordWrap/>
        <w:overflowPunct/>
        <w:topLinePunct w:val="0"/>
        <w:autoSpaceDE w:val="0"/>
        <w:autoSpaceDN w:val="0"/>
        <w:bidi w:val="0"/>
        <w:adjustRightInd w:val="0"/>
        <w:snapToGrid w:val="0"/>
        <w:spacing w:line="360" w:lineRule="auto"/>
        <w:jc w:val="left"/>
        <w:textAlignment w:val="auto"/>
        <w:rPr>
          <w:rFonts w:ascii="宋体" w:hAnsi="宋体"/>
          <w:snapToGrid w:val="0"/>
          <w:kern w:val="0"/>
          <w:sz w:val="20"/>
          <w:szCs w:val="20"/>
          <w:highlight w:val="none"/>
        </w:rPr>
      </w:pPr>
      <w:r>
        <w:rPr>
          <w:rFonts w:ascii="宋体" w:hAnsi="宋体"/>
          <w:b/>
          <w:snapToGrid w:val="0"/>
          <w:kern w:val="0"/>
          <w:highlight w:val="none"/>
        </w:rPr>
        <w:t>附表四：中标通知书</w:t>
      </w:r>
    </w:p>
    <w:p w14:paraId="0C037EC0">
      <w:pPr>
        <w:autoSpaceDE w:val="0"/>
        <w:autoSpaceDN w:val="0"/>
        <w:adjustRightInd w:val="0"/>
        <w:spacing w:line="360" w:lineRule="auto"/>
        <w:jc w:val="left"/>
        <w:rPr>
          <w:rFonts w:hint="eastAsia" w:ascii="宋体" w:hAnsi="宋体"/>
          <w:snapToGrid w:val="0"/>
          <w:kern w:val="0"/>
          <w:sz w:val="20"/>
          <w:szCs w:val="20"/>
          <w:highlight w:val="none"/>
        </w:rPr>
      </w:pPr>
    </w:p>
    <w:p w14:paraId="25344F44">
      <w:pPr>
        <w:autoSpaceDE w:val="0"/>
        <w:autoSpaceDN w:val="0"/>
        <w:adjustRightInd w:val="0"/>
        <w:spacing w:line="360" w:lineRule="auto"/>
        <w:jc w:val="left"/>
        <w:rPr>
          <w:rFonts w:hint="eastAsia" w:ascii="宋体" w:hAnsi="宋体"/>
          <w:snapToGrid w:val="0"/>
          <w:kern w:val="0"/>
          <w:sz w:val="20"/>
          <w:szCs w:val="20"/>
          <w:highlight w:val="none"/>
        </w:rPr>
      </w:pPr>
    </w:p>
    <w:p w14:paraId="172AE213">
      <w:pPr>
        <w:autoSpaceDE w:val="0"/>
        <w:autoSpaceDN w:val="0"/>
        <w:adjustRightInd w:val="0"/>
        <w:spacing w:line="360" w:lineRule="auto"/>
        <w:jc w:val="left"/>
        <w:rPr>
          <w:rFonts w:ascii="宋体" w:hAnsi="宋体"/>
          <w:snapToGrid w:val="0"/>
          <w:kern w:val="0"/>
          <w:sz w:val="20"/>
          <w:szCs w:val="20"/>
          <w:highlight w:val="none"/>
        </w:rPr>
      </w:pPr>
    </w:p>
    <w:p w14:paraId="0D3B6B63">
      <w:pPr>
        <w:autoSpaceDE w:val="0"/>
        <w:autoSpaceDN w:val="0"/>
        <w:adjustRightInd w:val="0"/>
        <w:snapToGrid w:val="0"/>
        <w:spacing w:line="360" w:lineRule="auto"/>
        <w:jc w:val="center"/>
        <w:rPr>
          <w:rFonts w:hint="eastAsia" w:ascii="宋体" w:hAnsi="宋体"/>
          <w:b/>
          <w:snapToGrid w:val="0"/>
          <w:w w:val="99"/>
          <w:kern w:val="0"/>
          <w:sz w:val="32"/>
          <w:szCs w:val="32"/>
          <w:highlight w:val="none"/>
        </w:rPr>
      </w:pPr>
      <w:r>
        <w:rPr>
          <w:rFonts w:hint="eastAsia" w:ascii="宋体" w:hAnsi="宋体"/>
          <w:b/>
          <w:snapToGrid w:val="0"/>
          <w:w w:val="99"/>
          <w:kern w:val="0"/>
          <w:sz w:val="32"/>
          <w:szCs w:val="32"/>
          <w:highlight w:val="none"/>
        </w:rPr>
        <w:t>重庆市建设工程中标通知书</w:t>
      </w:r>
    </w:p>
    <w:p w14:paraId="55C51F76">
      <w:pPr>
        <w:autoSpaceDE w:val="0"/>
        <w:autoSpaceDN w:val="0"/>
        <w:adjustRightInd w:val="0"/>
        <w:spacing w:line="360" w:lineRule="auto"/>
        <w:jc w:val="left"/>
        <w:rPr>
          <w:rFonts w:ascii="宋体" w:hAnsi="宋体"/>
          <w:snapToGrid w:val="0"/>
          <w:kern w:val="0"/>
          <w:sz w:val="20"/>
          <w:szCs w:val="20"/>
          <w:highlight w:val="none"/>
        </w:rPr>
      </w:pPr>
    </w:p>
    <w:p w14:paraId="1D61FC0C">
      <w:pPr>
        <w:spacing w:line="600" w:lineRule="auto"/>
        <w:rPr>
          <w:rFonts w:hint="eastAsia" w:ascii="宋体" w:hAnsi="宋体"/>
          <w:bCs/>
          <w:kern w:val="0"/>
          <w:szCs w:val="21"/>
          <w:highlight w:val="none"/>
          <w:u w:val="single"/>
        </w:rPr>
      </w:pPr>
      <w:r>
        <w:rPr>
          <w:rFonts w:ascii="宋体" w:hAnsi="宋体"/>
          <w:bCs/>
          <w:kern w:val="0"/>
          <w:szCs w:val="21"/>
          <w:highlight w:val="none"/>
          <w:u w:val="single"/>
        </w:rPr>
        <w:t xml:space="preserve">       </w:t>
      </w:r>
      <w:r>
        <w:rPr>
          <w:rFonts w:ascii="宋体" w:hAnsi="宋体"/>
          <w:kern w:val="0"/>
          <w:szCs w:val="21"/>
          <w:highlight w:val="none"/>
          <w:u w:val="single"/>
        </w:rPr>
        <w:t>中标单位</w:t>
      </w:r>
      <w:r>
        <w:rPr>
          <w:rFonts w:ascii="宋体" w:hAnsi="宋体"/>
          <w:bCs/>
          <w:kern w:val="0"/>
          <w:szCs w:val="21"/>
          <w:highlight w:val="none"/>
          <w:u w:val="single"/>
        </w:rPr>
        <w:t xml:space="preserve">               </w:t>
      </w:r>
      <w:r>
        <w:rPr>
          <w:rFonts w:ascii="宋体" w:hAnsi="宋体"/>
          <w:bCs/>
          <w:kern w:val="0"/>
          <w:szCs w:val="21"/>
          <w:highlight w:val="none"/>
        </w:rPr>
        <w:t>：</w:t>
      </w:r>
    </w:p>
    <w:p w14:paraId="318F70A0">
      <w:pPr>
        <w:spacing w:line="600" w:lineRule="auto"/>
        <w:ind w:firstLine="420" w:firstLineChars="200"/>
        <w:rPr>
          <w:rFonts w:ascii="宋体" w:hAnsi="宋体"/>
          <w:kern w:val="0"/>
          <w:szCs w:val="21"/>
          <w:highlight w:val="none"/>
        </w:rPr>
      </w:pPr>
      <w:r>
        <w:rPr>
          <w:rFonts w:ascii="宋体" w:hAnsi="宋体"/>
          <w:kern w:val="0"/>
          <w:szCs w:val="21"/>
          <w:highlight w:val="none"/>
        </w:rPr>
        <w:t xml:space="preserve">我单位拟建的 </w:t>
      </w:r>
      <w:r>
        <w:rPr>
          <w:rFonts w:ascii="宋体" w:hAnsi="宋体"/>
          <w:bCs/>
          <w:kern w:val="0"/>
          <w:szCs w:val="21"/>
          <w:highlight w:val="none"/>
          <w:u w:val="single"/>
        </w:rPr>
        <w:t xml:space="preserve">          </w:t>
      </w:r>
      <w:r>
        <w:rPr>
          <w:rFonts w:ascii="宋体" w:hAnsi="宋体"/>
          <w:kern w:val="0"/>
          <w:szCs w:val="21"/>
          <w:highlight w:val="none"/>
        </w:rPr>
        <w:t>于</w:t>
      </w:r>
      <w:r>
        <w:rPr>
          <w:rFonts w:ascii="宋体" w:hAnsi="宋体"/>
          <w:bCs/>
          <w:kern w:val="0"/>
          <w:szCs w:val="21"/>
          <w:highlight w:val="none"/>
          <w:u w:val="single"/>
        </w:rPr>
        <w:t xml:space="preserve">    </w:t>
      </w:r>
      <w:r>
        <w:rPr>
          <w:rFonts w:ascii="宋体" w:hAnsi="宋体"/>
          <w:kern w:val="0"/>
          <w:szCs w:val="21"/>
          <w:highlight w:val="none"/>
        </w:rPr>
        <w:t>年</w:t>
      </w:r>
      <w:r>
        <w:rPr>
          <w:rFonts w:hint="eastAsia" w:ascii="宋体" w:hAnsi="宋体"/>
          <w:bCs/>
          <w:kern w:val="0"/>
          <w:szCs w:val="21"/>
          <w:highlight w:val="none"/>
          <w:u w:val="single"/>
        </w:rPr>
        <w:t xml:space="preserve">    </w:t>
      </w:r>
      <w:r>
        <w:rPr>
          <w:rFonts w:ascii="宋体" w:hAnsi="宋体"/>
          <w:kern w:val="0"/>
          <w:szCs w:val="21"/>
          <w:highlight w:val="none"/>
        </w:rPr>
        <w:t>月</w:t>
      </w:r>
      <w:r>
        <w:rPr>
          <w:rFonts w:hint="eastAsia" w:ascii="宋体" w:hAnsi="宋体"/>
          <w:bCs/>
          <w:kern w:val="0"/>
          <w:szCs w:val="21"/>
          <w:highlight w:val="none"/>
          <w:u w:val="single"/>
        </w:rPr>
        <w:t xml:space="preserve">    </w:t>
      </w:r>
      <w:r>
        <w:rPr>
          <w:rFonts w:ascii="宋体" w:hAnsi="宋体"/>
          <w:kern w:val="0"/>
          <w:szCs w:val="21"/>
          <w:highlight w:val="none"/>
        </w:rPr>
        <w:t>日开标，经评标委员会评定，确定你单位为中标人，中标额为</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 xml:space="preserve">元（其中含安全文明施工费 </w:t>
      </w:r>
      <w:r>
        <w:rPr>
          <w:rFonts w:ascii="宋体" w:hAnsi="宋体"/>
          <w:bCs/>
          <w:kern w:val="0"/>
          <w:szCs w:val="21"/>
          <w:highlight w:val="none"/>
          <w:u w:val="single"/>
        </w:rPr>
        <w:t xml:space="preserve">￥    </w:t>
      </w:r>
      <w:r>
        <w:rPr>
          <w:rFonts w:ascii="宋体" w:hAnsi="宋体"/>
          <w:kern w:val="0"/>
          <w:szCs w:val="21"/>
          <w:highlight w:val="none"/>
        </w:rPr>
        <w:t>元）。中标工程范围：</w:t>
      </w:r>
      <w:r>
        <w:rPr>
          <w:rFonts w:ascii="宋体" w:hAnsi="宋体"/>
          <w:bCs/>
          <w:kern w:val="0"/>
          <w:szCs w:val="21"/>
          <w:highlight w:val="none"/>
          <w:u w:val="single"/>
        </w:rPr>
        <w:t xml:space="preserve">     </w:t>
      </w:r>
      <w:r>
        <w:rPr>
          <w:rFonts w:ascii="宋体" w:hAnsi="宋体"/>
          <w:kern w:val="0"/>
          <w:szCs w:val="21"/>
          <w:highlight w:val="none"/>
        </w:rPr>
        <w:t xml:space="preserve">，工程规模为 </w:t>
      </w:r>
      <w:r>
        <w:rPr>
          <w:rFonts w:ascii="宋体" w:hAnsi="宋体"/>
          <w:bCs/>
          <w:kern w:val="0"/>
          <w:szCs w:val="21"/>
          <w:highlight w:val="none"/>
          <w:u w:val="single"/>
        </w:rPr>
        <w:t xml:space="preserve">      </w:t>
      </w:r>
      <w:r>
        <w:rPr>
          <w:rFonts w:ascii="宋体" w:hAnsi="宋体"/>
          <w:kern w:val="0"/>
          <w:szCs w:val="21"/>
          <w:highlight w:val="none"/>
        </w:rPr>
        <w:t xml:space="preserve">，中标工期 </w:t>
      </w:r>
      <w:r>
        <w:rPr>
          <w:rFonts w:ascii="宋体" w:hAnsi="宋体"/>
          <w:bCs/>
          <w:kern w:val="0"/>
          <w:szCs w:val="21"/>
          <w:highlight w:val="none"/>
          <w:u w:val="single"/>
        </w:rPr>
        <w:t xml:space="preserve">   </w:t>
      </w:r>
      <w:r>
        <w:rPr>
          <w:rFonts w:ascii="宋体" w:hAnsi="宋体"/>
          <w:kern w:val="0"/>
          <w:szCs w:val="21"/>
          <w:highlight w:val="none"/>
        </w:rPr>
        <w:t>日历天，工程质量达到国家施工验收规范标准。 项目经理由</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担任。</w:t>
      </w:r>
    </w:p>
    <w:p w14:paraId="55DCE1D9">
      <w:pPr>
        <w:spacing w:line="600" w:lineRule="auto"/>
        <w:rPr>
          <w:rFonts w:ascii="宋体" w:hAnsi="宋体"/>
          <w:kern w:val="0"/>
          <w:szCs w:val="21"/>
          <w:highlight w:val="none"/>
        </w:rPr>
      </w:pPr>
      <w:r>
        <w:rPr>
          <w:rFonts w:ascii="宋体" w:hAnsi="宋体"/>
          <w:kern w:val="0"/>
          <w:szCs w:val="21"/>
          <w:highlight w:val="none"/>
        </w:rPr>
        <w:t xml:space="preserve">你单位收到中标通知书后，在 </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日内到我单位签订承发包合同。</w:t>
      </w:r>
    </w:p>
    <w:p w14:paraId="79ACA7A8">
      <w:pPr>
        <w:spacing w:line="600" w:lineRule="auto"/>
        <w:rPr>
          <w:rFonts w:hint="eastAsia" w:ascii="宋体" w:hAnsi="宋体" w:eastAsia="宋体"/>
          <w:kern w:val="0"/>
          <w:sz w:val="24"/>
          <w:highlight w:val="none"/>
          <w:lang w:eastAsia="zh-CN"/>
        </w:rPr>
      </w:pPr>
      <w:r>
        <w:rPr>
          <w:rFonts w:ascii="宋体" w:hAnsi="宋体"/>
          <w:kern w:val="0"/>
          <w:szCs w:val="21"/>
          <w:highlight w:val="none"/>
        </w:rPr>
        <w:t xml:space="preserve">     特此通知。</w:t>
      </w:r>
    </w:p>
    <w:p w14:paraId="32E6C439">
      <w:pPr>
        <w:spacing w:line="480" w:lineRule="auto"/>
        <w:jc w:val="center"/>
        <w:rPr>
          <w:rFonts w:ascii="宋体" w:hAnsi="宋体"/>
          <w:kern w:val="0"/>
          <w:sz w:val="24"/>
          <w:highlight w:val="none"/>
        </w:rPr>
      </w:pPr>
      <w:r>
        <w:rPr>
          <w:rFonts w:hint="eastAsia" w:ascii="宋体" w:hAnsi="宋体"/>
          <w:kern w:val="0"/>
          <w:sz w:val="24"/>
          <w:highlight w:val="none"/>
          <w:lang w:eastAsia="zh-CN"/>
        </w:rPr>
        <w:t>比选人</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w:t>
      </w:r>
      <w:r>
        <w:rPr>
          <w:rFonts w:ascii="宋体" w:hAnsi="宋体"/>
          <w:snapToGrid w:val="0"/>
          <w:kern w:val="0"/>
          <w:szCs w:val="21"/>
          <w:highlight w:val="none"/>
        </w:rPr>
        <w:t>盖单位法人章</w:t>
      </w:r>
      <w:r>
        <w:rPr>
          <w:rFonts w:ascii="宋体" w:hAnsi="宋体"/>
          <w:kern w:val="0"/>
          <w:sz w:val="24"/>
          <w:highlight w:val="none"/>
        </w:rPr>
        <w:t>）</w:t>
      </w:r>
    </w:p>
    <w:p w14:paraId="30FB1149">
      <w:pPr>
        <w:spacing w:line="480" w:lineRule="auto"/>
        <w:jc w:val="center"/>
        <w:rPr>
          <w:rFonts w:ascii="宋体" w:hAnsi="宋体"/>
          <w:kern w:val="0"/>
          <w:sz w:val="24"/>
          <w:highlight w:val="none"/>
        </w:rPr>
      </w:pPr>
      <w:r>
        <w:rPr>
          <w:rFonts w:ascii="宋体" w:hAnsi="宋体"/>
          <w:kern w:val="0"/>
          <w:sz w:val="24"/>
          <w:highlight w:val="none"/>
        </w:rPr>
        <w:t>法定代表人</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（签字或盖章）</w:t>
      </w:r>
    </w:p>
    <w:p w14:paraId="0DD040C5">
      <w:pPr>
        <w:spacing w:line="480" w:lineRule="auto"/>
        <w:jc w:val="left"/>
        <w:rPr>
          <w:rFonts w:ascii="宋体" w:hAnsi="宋体"/>
          <w:kern w:val="0"/>
          <w:sz w:val="24"/>
          <w:highlight w:val="none"/>
          <w:u w:val="single"/>
        </w:rPr>
      </w:pPr>
      <w:r>
        <w:rPr>
          <w:rFonts w:ascii="宋体" w:hAnsi="宋体"/>
          <w:kern w:val="0"/>
          <w:sz w:val="24"/>
          <w:highlight w:val="none"/>
        </w:rPr>
        <w:t xml:space="preserve">             联系人</w:t>
      </w:r>
      <w:r>
        <w:rPr>
          <w:rFonts w:ascii="宋体" w:hAnsi="宋体"/>
          <w:snapToGrid w:val="0"/>
          <w:kern w:val="0"/>
          <w:szCs w:val="21"/>
          <w:highlight w:val="none"/>
        </w:rPr>
        <w:t>：</w:t>
      </w:r>
      <w:r>
        <w:rPr>
          <w:rFonts w:ascii="宋体" w:hAnsi="宋体"/>
          <w:kern w:val="0"/>
          <w:sz w:val="24"/>
          <w:highlight w:val="none"/>
          <w:u w:val="single"/>
        </w:rPr>
        <w:t xml:space="preserve">                          </w:t>
      </w:r>
    </w:p>
    <w:p w14:paraId="4313A9D5">
      <w:pPr>
        <w:spacing w:line="480" w:lineRule="auto"/>
        <w:jc w:val="left"/>
        <w:rPr>
          <w:rFonts w:ascii="宋体" w:hAnsi="宋体"/>
          <w:kern w:val="0"/>
          <w:sz w:val="24"/>
          <w:highlight w:val="none"/>
        </w:rPr>
      </w:pPr>
      <w:r>
        <w:rPr>
          <w:rFonts w:ascii="宋体" w:hAnsi="宋体"/>
          <w:kern w:val="0"/>
          <w:sz w:val="24"/>
          <w:highlight w:val="none"/>
        </w:rPr>
        <w:t xml:space="preserve">             联系电话</w:t>
      </w:r>
      <w:r>
        <w:rPr>
          <w:rFonts w:ascii="宋体" w:hAnsi="宋体"/>
          <w:snapToGrid w:val="0"/>
          <w:kern w:val="0"/>
          <w:szCs w:val="21"/>
          <w:highlight w:val="none"/>
        </w:rPr>
        <w:t>：</w:t>
      </w:r>
      <w:r>
        <w:rPr>
          <w:rFonts w:ascii="宋体" w:hAnsi="宋体"/>
          <w:kern w:val="0"/>
          <w:sz w:val="24"/>
          <w:highlight w:val="none"/>
          <w:u w:val="single"/>
        </w:rPr>
        <w:t xml:space="preserve">                        </w:t>
      </w:r>
    </w:p>
    <w:p w14:paraId="391A7561">
      <w:pPr>
        <w:spacing w:line="480" w:lineRule="auto"/>
        <w:ind w:firstLine="1680" w:firstLineChars="700"/>
        <w:jc w:val="both"/>
        <w:rPr>
          <w:rFonts w:hint="eastAsia" w:ascii="宋体" w:hAnsi="宋体"/>
          <w:kern w:val="0"/>
          <w:sz w:val="24"/>
          <w:highlight w:val="none"/>
        </w:rPr>
      </w:pPr>
      <w:r>
        <w:rPr>
          <w:rFonts w:ascii="宋体" w:hAnsi="宋体"/>
          <w:kern w:val="0"/>
          <w:sz w:val="24"/>
          <w:highlight w:val="none"/>
        </w:rPr>
        <w:t>签发日期</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年</w:t>
      </w:r>
      <w:r>
        <w:rPr>
          <w:rFonts w:ascii="宋体" w:hAnsi="宋体"/>
          <w:kern w:val="0"/>
          <w:sz w:val="24"/>
          <w:highlight w:val="none"/>
          <w:u w:val="single"/>
        </w:rPr>
        <w:t xml:space="preserve">     </w:t>
      </w:r>
      <w:r>
        <w:rPr>
          <w:rFonts w:ascii="宋体" w:hAnsi="宋体"/>
          <w:kern w:val="0"/>
          <w:sz w:val="24"/>
          <w:highlight w:val="none"/>
        </w:rPr>
        <w:t>月</w:t>
      </w:r>
      <w:r>
        <w:rPr>
          <w:rFonts w:ascii="宋体" w:hAnsi="宋体"/>
          <w:kern w:val="0"/>
          <w:sz w:val="24"/>
          <w:highlight w:val="none"/>
          <w:u w:val="single"/>
        </w:rPr>
        <w:t xml:space="preserve">     </w:t>
      </w:r>
      <w:r>
        <w:rPr>
          <w:rFonts w:ascii="宋体" w:hAnsi="宋体"/>
          <w:kern w:val="0"/>
          <w:sz w:val="24"/>
          <w:highlight w:val="none"/>
        </w:rPr>
        <w:t>日</w:t>
      </w:r>
    </w:p>
    <w:p w14:paraId="44C9B08B">
      <w:pPr>
        <w:autoSpaceDE w:val="0"/>
        <w:autoSpaceDN w:val="0"/>
        <w:adjustRightInd w:val="0"/>
        <w:snapToGrid w:val="0"/>
        <w:spacing w:line="200" w:lineRule="exact"/>
        <w:ind w:firstLine="4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br w:type="page"/>
      </w:r>
    </w:p>
    <w:p w14:paraId="5CD9AD12">
      <w:pPr>
        <w:pStyle w:val="4"/>
        <w:spacing w:line="360" w:lineRule="auto"/>
        <w:jc w:val="center"/>
        <w:rPr>
          <w:rFonts w:ascii="宋体" w:hAnsi="宋体"/>
          <w:snapToGrid w:val="0"/>
          <w:kern w:val="0"/>
          <w:highlight w:val="none"/>
        </w:rPr>
      </w:pPr>
      <w:bookmarkStart w:id="446" w:name="招标文件03章02评标办法综合评估法00"/>
      <w:bookmarkEnd w:id="446"/>
      <w:bookmarkStart w:id="447" w:name="招标文件03章02评标办法综合评估法"/>
      <w:bookmarkEnd w:id="447"/>
      <w:bookmarkStart w:id="448" w:name="_Toc18408"/>
      <w:bookmarkStart w:id="449" w:name="_Toc27983287"/>
      <w:bookmarkStart w:id="450" w:name="_Toc513492490"/>
      <w:bookmarkStart w:id="451" w:name="_Toc287620749"/>
      <w:bookmarkStart w:id="452" w:name="_Toc452058737"/>
      <w:bookmarkStart w:id="453" w:name="_Toc287607810"/>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bookmarkEnd w:id="448"/>
      <w:bookmarkEnd w:id="449"/>
    </w:p>
    <w:p w14:paraId="7041F955">
      <w:pPr>
        <w:keepNext/>
        <w:keepLines/>
        <w:spacing w:before="100" w:after="100" w:line="360" w:lineRule="auto"/>
        <w:outlineLvl w:val="1"/>
        <w:rPr>
          <w:rFonts w:ascii="宋体" w:hAnsi="宋体"/>
          <w:b/>
          <w:sz w:val="32"/>
          <w:szCs w:val="32"/>
          <w:highlight w:val="none"/>
        </w:rPr>
      </w:pPr>
      <w:bookmarkStart w:id="454" w:name="_Toc27983288"/>
      <w:r>
        <w:rPr>
          <w:rFonts w:hint="eastAsia" w:ascii="宋体" w:hAnsi="宋体"/>
          <w:b/>
          <w:sz w:val="32"/>
          <w:szCs w:val="32"/>
          <w:highlight w:val="none"/>
        </w:rPr>
        <w:t>评标办法前附表</w:t>
      </w:r>
      <w:bookmarkEnd w:id="454"/>
    </w:p>
    <w:p w14:paraId="195CFA95">
      <w:pPr>
        <w:spacing w:line="400" w:lineRule="exact"/>
        <w:ind w:firstLine="427" w:firstLineChars="196"/>
        <w:rPr>
          <w:rFonts w:ascii="宋体" w:hAnsi="宋体"/>
          <w:spacing w:val="4"/>
          <w:kern w:val="0"/>
          <w:szCs w:val="21"/>
          <w:highlight w:val="none"/>
        </w:rPr>
      </w:pPr>
      <w:bookmarkStart w:id="455" w:name="_Toc13210726"/>
      <w:r>
        <w:rPr>
          <w:rFonts w:ascii="宋体" w:hAnsi="宋体"/>
          <w:spacing w:val="4"/>
          <w:kern w:val="0"/>
          <w:szCs w:val="21"/>
          <w:highlight w:val="none"/>
        </w:rPr>
        <w:t>评标办法前附表中的评审内容必须和投标人须知前附表中的对应内容一致，若投标人须知前附表中未作要求的内容，不得列入评标办法前附表作为评定依据。</w:t>
      </w:r>
      <w:bookmarkEnd w:id="455"/>
    </w:p>
    <w:tbl>
      <w:tblPr>
        <w:tblStyle w:val="53"/>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7850B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736BDBC2">
            <w:pPr>
              <w:spacing w:line="400" w:lineRule="exact"/>
              <w:jc w:val="center"/>
              <w:rPr>
                <w:rFonts w:ascii="宋体" w:hAnsi="宋体"/>
                <w:b/>
                <w:kern w:val="0"/>
                <w:highlight w:val="none"/>
              </w:rPr>
            </w:pPr>
            <w:r>
              <w:rPr>
                <w:rFonts w:ascii="宋体" w:hAnsi="宋体"/>
                <w:b/>
                <w:kern w:val="0"/>
                <w:highlight w:val="none"/>
              </w:rPr>
              <w:t>条款号</w:t>
            </w:r>
          </w:p>
        </w:tc>
        <w:tc>
          <w:tcPr>
            <w:tcW w:w="1560" w:type="dxa"/>
            <w:tcBorders>
              <w:left w:val="single" w:color="auto" w:sz="4" w:space="0"/>
            </w:tcBorders>
            <w:vAlign w:val="center"/>
          </w:tcPr>
          <w:p w14:paraId="5368E3B1">
            <w:pPr>
              <w:spacing w:line="400" w:lineRule="exact"/>
              <w:jc w:val="center"/>
              <w:rPr>
                <w:rFonts w:ascii="宋体" w:hAnsi="宋体"/>
                <w:b/>
                <w:kern w:val="0"/>
                <w:highlight w:val="none"/>
              </w:rPr>
            </w:pPr>
            <w:r>
              <w:rPr>
                <w:rFonts w:ascii="宋体" w:hAnsi="宋体"/>
                <w:b/>
                <w:kern w:val="0"/>
                <w:highlight w:val="none"/>
              </w:rPr>
              <w:t>评审因素</w:t>
            </w:r>
          </w:p>
        </w:tc>
        <w:tc>
          <w:tcPr>
            <w:tcW w:w="6882" w:type="dxa"/>
            <w:gridSpan w:val="2"/>
            <w:vAlign w:val="center"/>
          </w:tcPr>
          <w:p w14:paraId="2D707BD5">
            <w:pPr>
              <w:spacing w:line="400" w:lineRule="exact"/>
              <w:jc w:val="center"/>
              <w:rPr>
                <w:rFonts w:ascii="宋体" w:hAnsi="宋体"/>
                <w:b/>
                <w:kern w:val="0"/>
                <w:highlight w:val="none"/>
              </w:rPr>
            </w:pPr>
            <w:r>
              <w:rPr>
                <w:rFonts w:ascii="宋体" w:hAnsi="宋体"/>
                <w:b/>
                <w:kern w:val="0"/>
                <w:highlight w:val="none"/>
              </w:rPr>
              <w:t>评审标准</w:t>
            </w:r>
          </w:p>
        </w:tc>
      </w:tr>
      <w:tr w14:paraId="20206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446AE065">
            <w:pPr>
              <w:pStyle w:val="238"/>
              <w:spacing w:line="400" w:lineRule="exact"/>
              <w:ind w:firstLine="420"/>
              <w:rPr>
                <w:sz w:val="21"/>
                <w:szCs w:val="21"/>
                <w:highlight w:val="none"/>
              </w:rPr>
            </w:pPr>
            <w:r>
              <w:rPr>
                <w:sz w:val="21"/>
                <w:szCs w:val="21"/>
                <w:highlight w:val="none"/>
              </w:rPr>
              <w:t>1</w:t>
            </w:r>
          </w:p>
        </w:tc>
        <w:tc>
          <w:tcPr>
            <w:tcW w:w="1560" w:type="dxa"/>
            <w:tcBorders>
              <w:left w:val="single" w:color="auto" w:sz="4" w:space="0"/>
            </w:tcBorders>
            <w:vAlign w:val="center"/>
          </w:tcPr>
          <w:p w14:paraId="460E5348">
            <w:pPr>
              <w:pStyle w:val="238"/>
              <w:spacing w:line="400" w:lineRule="exact"/>
              <w:ind w:firstLine="0" w:firstLineChars="0"/>
              <w:jc w:val="center"/>
              <w:rPr>
                <w:sz w:val="21"/>
                <w:szCs w:val="21"/>
                <w:highlight w:val="none"/>
              </w:rPr>
            </w:pPr>
            <w:r>
              <w:rPr>
                <w:rFonts w:hint="eastAsia"/>
                <w:sz w:val="21"/>
                <w:szCs w:val="21"/>
                <w:highlight w:val="none"/>
              </w:rPr>
              <w:t>评标办法</w:t>
            </w:r>
          </w:p>
        </w:tc>
        <w:tc>
          <w:tcPr>
            <w:tcW w:w="6882" w:type="dxa"/>
            <w:gridSpan w:val="2"/>
            <w:vAlign w:val="center"/>
          </w:tcPr>
          <w:p w14:paraId="023F7EE9">
            <w:pPr>
              <w:spacing w:line="400" w:lineRule="exact"/>
              <w:ind w:firstLine="436" w:firstLineChars="200"/>
              <w:rPr>
                <w:rFonts w:ascii="宋体" w:hAnsi="宋体"/>
                <w:spacing w:val="4"/>
                <w:kern w:val="0"/>
                <w:szCs w:val="21"/>
                <w:highlight w:val="none"/>
              </w:rPr>
            </w:pPr>
            <w:r>
              <w:rPr>
                <w:rFonts w:hint="eastAsia" w:ascii="宋体" w:hAnsi="宋体"/>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spacing w:val="4"/>
                <w:kern w:val="0"/>
                <w:szCs w:val="21"/>
                <w:highlight w:val="none"/>
                <w:lang w:eastAsia="zh-CN"/>
              </w:rPr>
              <w:t>比选人</w:t>
            </w:r>
            <w:r>
              <w:rPr>
                <w:rFonts w:hint="eastAsia" w:ascii="宋体" w:hAnsi="宋体"/>
                <w:spacing w:val="4"/>
                <w:kern w:val="0"/>
                <w:szCs w:val="21"/>
                <w:highlight w:val="none"/>
              </w:rPr>
              <w:t>授权直接确定中标人。若出现投标人投标报价相同的，</w:t>
            </w:r>
            <w:r>
              <w:rPr>
                <w:rFonts w:hint="eastAsia" w:ascii="宋体" w:hAnsi="宋体"/>
                <w:spacing w:val="4"/>
                <w:kern w:val="0"/>
                <w:szCs w:val="21"/>
                <w:highlight w:val="none"/>
                <w:lang w:eastAsia="zh-CN"/>
              </w:rPr>
              <w:t>由评标委员会</w:t>
            </w:r>
            <w:r>
              <w:rPr>
                <w:rFonts w:hint="eastAsia" w:ascii="宋体" w:hAnsi="宋体"/>
                <w:spacing w:val="4"/>
                <w:kern w:val="0"/>
                <w:szCs w:val="21"/>
                <w:highlight w:val="none"/>
                <w:u w:val="single"/>
                <w:lang w:eastAsia="zh-CN"/>
              </w:rPr>
              <w:t xml:space="preserve"> 全体成员投票，并按简单多数 </w:t>
            </w:r>
            <w:r>
              <w:rPr>
                <w:rFonts w:hint="eastAsia" w:ascii="宋体" w:hAnsi="宋体"/>
                <w:spacing w:val="4"/>
                <w:kern w:val="0"/>
                <w:szCs w:val="21"/>
                <w:highlight w:val="none"/>
                <w:lang w:eastAsia="zh-CN"/>
              </w:rPr>
              <w:t>原则排序</w:t>
            </w:r>
            <w:r>
              <w:rPr>
                <w:rFonts w:hint="eastAsia" w:ascii="宋体" w:hAnsi="宋体"/>
                <w:spacing w:val="4"/>
                <w:kern w:val="0"/>
                <w:szCs w:val="21"/>
                <w:highlight w:val="none"/>
              </w:rPr>
              <w:t>。</w:t>
            </w:r>
          </w:p>
        </w:tc>
      </w:tr>
      <w:tr w14:paraId="0DA8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FE19CB9">
            <w:pPr>
              <w:spacing w:line="400" w:lineRule="exact"/>
              <w:jc w:val="center"/>
              <w:rPr>
                <w:rFonts w:ascii="宋体" w:hAnsi="宋体"/>
                <w:kern w:val="0"/>
                <w:highlight w:val="none"/>
              </w:rPr>
            </w:pPr>
            <w:r>
              <w:rPr>
                <w:rFonts w:hint="eastAsia" w:ascii="宋体" w:hAnsi="宋体"/>
                <w:kern w:val="0"/>
                <w:highlight w:val="none"/>
              </w:rPr>
              <w:t>2.1</w:t>
            </w:r>
          </w:p>
        </w:tc>
        <w:tc>
          <w:tcPr>
            <w:tcW w:w="1560" w:type="dxa"/>
            <w:tcBorders>
              <w:left w:val="single" w:color="auto" w:sz="4" w:space="0"/>
              <w:right w:val="single" w:color="auto" w:sz="4" w:space="0"/>
            </w:tcBorders>
            <w:vAlign w:val="center"/>
          </w:tcPr>
          <w:p w14:paraId="4ADB4EA8">
            <w:pPr>
              <w:spacing w:line="400" w:lineRule="exact"/>
              <w:jc w:val="center"/>
              <w:rPr>
                <w:rFonts w:ascii="宋体" w:hAnsi="宋体"/>
                <w:kern w:val="0"/>
                <w:highlight w:val="none"/>
              </w:rPr>
            </w:pPr>
            <w:r>
              <w:rPr>
                <w:rFonts w:ascii="宋体" w:hAnsi="宋体"/>
                <w:kern w:val="0"/>
                <w:highlight w:val="none"/>
              </w:rPr>
              <w:t>报价顺序</w:t>
            </w:r>
          </w:p>
        </w:tc>
        <w:tc>
          <w:tcPr>
            <w:tcW w:w="6882" w:type="dxa"/>
            <w:gridSpan w:val="2"/>
            <w:tcBorders>
              <w:left w:val="single" w:color="auto" w:sz="4" w:space="0"/>
            </w:tcBorders>
            <w:vAlign w:val="center"/>
          </w:tcPr>
          <w:p w14:paraId="158651C5">
            <w:pPr>
              <w:spacing w:line="400" w:lineRule="exact"/>
              <w:ind w:firstLine="420" w:firstLineChars="200"/>
              <w:jc w:val="left"/>
              <w:rPr>
                <w:rFonts w:ascii="宋体" w:hAnsi="宋体"/>
                <w:kern w:val="0"/>
                <w:highlight w:val="none"/>
              </w:rPr>
            </w:pPr>
            <w:r>
              <w:rPr>
                <w:rFonts w:hint="eastAsia" w:ascii="宋体" w:hAnsi="宋体"/>
                <w:kern w:val="0"/>
                <w:highlight w:val="none"/>
              </w:rPr>
              <w:t>对报价不高于最高限价的所有投标人的投标文件，按照报价由低到高的顺序排列。</w:t>
            </w:r>
          </w:p>
        </w:tc>
      </w:tr>
      <w:tr w14:paraId="1158F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8FAD866">
            <w:pPr>
              <w:spacing w:line="400" w:lineRule="exact"/>
              <w:jc w:val="center"/>
              <w:rPr>
                <w:rFonts w:hint="eastAsia" w:ascii="宋体" w:hAnsi="宋体"/>
                <w:kern w:val="0"/>
                <w:highlight w:val="none"/>
              </w:rPr>
            </w:pPr>
            <w:r>
              <w:rPr>
                <w:rFonts w:hint="eastAsia" w:ascii="宋体" w:hAnsi="宋体"/>
                <w:kern w:val="0"/>
                <w:highlight w:val="none"/>
              </w:rPr>
              <w:t>2.2</w:t>
            </w:r>
          </w:p>
        </w:tc>
        <w:tc>
          <w:tcPr>
            <w:tcW w:w="1560" w:type="dxa"/>
            <w:tcBorders>
              <w:left w:val="single" w:color="auto" w:sz="4" w:space="0"/>
              <w:right w:val="single" w:color="auto" w:sz="4" w:space="0"/>
            </w:tcBorders>
            <w:vAlign w:val="center"/>
          </w:tcPr>
          <w:p w14:paraId="7B38BC5C">
            <w:pPr>
              <w:spacing w:line="400" w:lineRule="exact"/>
              <w:jc w:val="center"/>
              <w:rPr>
                <w:rFonts w:ascii="宋体" w:hAnsi="宋体"/>
                <w:kern w:val="0"/>
                <w:highlight w:val="none"/>
              </w:rPr>
            </w:pPr>
            <w:r>
              <w:rPr>
                <w:rFonts w:hint="eastAsia" w:ascii="宋体" w:hAnsi="宋体"/>
                <w:kern w:val="0"/>
                <w:highlight w:val="none"/>
              </w:rPr>
              <w:t>符合性审查</w:t>
            </w:r>
          </w:p>
        </w:tc>
        <w:tc>
          <w:tcPr>
            <w:tcW w:w="6882" w:type="dxa"/>
            <w:gridSpan w:val="2"/>
            <w:tcBorders>
              <w:left w:val="single" w:color="auto" w:sz="4" w:space="0"/>
            </w:tcBorders>
            <w:vAlign w:val="center"/>
          </w:tcPr>
          <w:p w14:paraId="2F3B3196">
            <w:pPr>
              <w:spacing w:line="400" w:lineRule="exact"/>
              <w:ind w:firstLine="420" w:firstLineChars="200"/>
              <w:jc w:val="left"/>
              <w:rPr>
                <w:rFonts w:hint="eastAsia" w:ascii="宋体" w:hAnsi="宋体"/>
                <w:kern w:val="0"/>
                <w:highlight w:val="none"/>
                <w:bdr w:val="single" w:color="auto" w:sz="4" w:space="0"/>
              </w:rPr>
            </w:pPr>
            <w:r>
              <w:rPr>
                <w:rFonts w:hint="eastAsia" w:ascii="宋体" w:hAnsi="宋体"/>
                <w:kern w:val="0"/>
                <w:highlight w:val="none"/>
              </w:rPr>
              <w:t>取报价排序前</w:t>
            </w:r>
            <w:r>
              <w:rPr>
                <w:rFonts w:hint="eastAsia" w:ascii="宋体" w:hAnsi="宋体"/>
                <w:kern w:val="0"/>
                <w:highlight w:val="none"/>
                <w:lang w:val="en-US" w:eastAsia="zh-CN"/>
              </w:rPr>
              <w:t>5</w:t>
            </w:r>
            <w:r>
              <w:rPr>
                <w:rFonts w:hint="eastAsia" w:ascii="宋体" w:hAnsi="宋体"/>
                <w:kern w:val="0"/>
                <w:highlight w:val="none"/>
              </w:rPr>
              <w:t>名（若实际投标人数量小于勾选数量，</w:t>
            </w:r>
            <w:r>
              <w:rPr>
                <w:rFonts w:hint="eastAsia" w:ascii="宋体" w:hAnsi="宋体"/>
                <w:spacing w:val="4"/>
                <w:kern w:val="0"/>
                <w:szCs w:val="21"/>
                <w:highlight w:val="none"/>
              </w:rPr>
              <w:t>则全部纳入）进行符合性审查。符合性审查内容：资格评审、形式评审、响应性评审。符合性审查</w:t>
            </w:r>
            <w:r>
              <w:rPr>
                <w:rFonts w:hint="eastAsia" w:ascii="宋体" w:hAnsi="宋体"/>
                <w:kern w:val="0"/>
                <w:highlight w:val="none"/>
              </w:rPr>
              <w:t>合格的投标人中，报价最低的成为第一中标候选人，报价次低的成为第二中标候选人，依次类推。</w:t>
            </w:r>
          </w:p>
        </w:tc>
      </w:tr>
      <w:tr w14:paraId="3A234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06AB59E8">
            <w:pPr>
              <w:spacing w:line="400" w:lineRule="exact"/>
              <w:jc w:val="center"/>
              <w:rPr>
                <w:rFonts w:hint="eastAsia" w:ascii="宋体" w:hAnsi="宋体" w:cs="宋体"/>
                <w:szCs w:val="21"/>
                <w:highlight w:val="none"/>
              </w:rPr>
            </w:pPr>
            <w:r>
              <w:rPr>
                <w:rFonts w:hint="eastAsia" w:ascii="宋体" w:hAnsi="宋体" w:cs="宋体"/>
                <w:szCs w:val="21"/>
                <w:highlight w:val="none"/>
              </w:rPr>
              <w:t>2.2.2</w:t>
            </w:r>
          </w:p>
        </w:tc>
        <w:tc>
          <w:tcPr>
            <w:tcW w:w="1560" w:type="dxa"/>
            <w:vMerge w:val="restart"/>
            <w:tcBorders>
              <w:left w:val="single" w:color="auto" w:sz="4" w:space="0"/>
              <w:right w:val="single" w:color="auto" w:sz="4" w:space="0"/>
            </w:tcBorders>
            <w:vAlign w:val="center"/>
          </w:tcPr>
          <w:p w14:paraId="19EF47F2">
            <w:pPr>
              <w:spacing w:line="400" w:lineRule="exact"/>
              <w:jc w:val="center"/>
              <w:rPr>
                <w:rFonts w:ascii="宋体" w:hAnsi="宋体"/>
                <w:kern w:val="0"/>
                <w:highlight w:val="none"/>
              </w:rPr>
            </w:pPr>
            <w:r>
              <w:rPr>
                <w:rFonts w:hint="eastAsia" w:ascii="宋体" w:hAnsi="宋体"/>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59FDAF6F">
            <w:pPr>
              <w:snapToGrid w:val="0"/>
              <w:spacing w:line="400" w:lineRule="exact"/>
              <w:jc w:val="left"/>
              <w:rPr>
                <w:rFonts w:ascii="宋体" w:hAnsi="宋体" w:cs="宋体"/>
                <w:kern w:val="0"/>
                <w:highlight w:val="none"/>
              </w:rPr>
            </w:pPr>
            <w:r>
              <w:rPr>
                <w:rFonts w:hint="eastAsia" w:ascii="宋体" w:hAnsi="宋体" w:cs="宋体"/>
                <w:kern w:val="0"/>
                <w:highlight w:val="none"/>
              </w:rPr>
              <w:t>营业执照</w:t>
            </w:r>
          </w:p>
        </w:tc>
        <w:tc>
          <w:tcPr>
            <w:tcW w:w="4615" w:type="dxa"/>
            <w:tcBorders>
              <w:top w:val="single" w:color="auto" w:sz="4" w:space="0"/>
              <w:left w:val="single" w:color="auto" w:sz="4" w:space="0"/>
            </w:tcBorders>
            <w:vAlign w:val="center"/>
          </w:tcPr>
          <w:p w14:paraId="6B76171F">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4A43F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421A2F1">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688E52AB">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0B5E50FC">
            <w:pPr>
              <w:snapToGrid w:val="0"/>
              <w:spacing w:line="400" w:lineRule="exact"/>
              <w:jc w:val="left"/>
              <w:rPr>
                <w:rFonts w:ascii="宋体" w:hAnsi="宋体" w:cs="宋体"/>
                <w:kern w:val="0"/>
                <w:highlight w:val="none"/>
              </w:rPr>
            </w:pPr>
            <w:r>
              <w:rPr>
                <w:rFonts w:hint="eastAsia" w:ascii="宋体" w:hAnsi="宋体" w:cs="宋体"/>
                <w:kern w:val="0"/>
                <w:highlight w:val="none"/>
              </w:rPr>
              <w:t>安全生产条件</w:t>
            </w:r>
          </w:p>
        </w:tc>
        <w:tc>
          <w:tcPr>
            <w:tcW w:w="4615" w:type="dxa"/>
            <w:tcBorders>
              <w:top w:val="single" w:color="auto" w:sz="4" w:space="0"/>
              <w:left w:val="single" w:color="auto" w:sz="4" w:space="0"/>
            </w:tcBorders>
            <w:vAlign w:val="center"/>
          </w:tcPr>
          <w:p w14:paraId="27E175D5">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6C304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8EFBA45">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4A45A81C">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056BC680">
            <w:pPr>
              <w:snapToGrid w:val="0"/>
              <w:spacing w:line="400" w:lineRule="exact"/>
              <w:jc w:val="left"/>
              <w:rPr>
                <w:rFonts w:ascii="宋体" w:hAnsi="宋体" w:cs="宋体"/>
                <w:kern w:val="0"/>
                <w:highlight w:val="none"/>
              </w:rPr>
            </w:pPr>
            <w:r>
              <w:rPr>
                <w:rFonts w:hint="eastAsia" w:ascii="宋体" w:hAnsi="宋体" w:cs="宋体"/>
                <w:kern w:val="0"/>
                <w:highlight w:val="none"/>
              </w:rPr>
              <w:t>资质等级</w:t>
            </w:r>
          </w:p>
        </w:tc>
        <w:tc>
          <w:tcPr>
            <w:tcW w:w="4615" w:type="dxa"/>
            <w:tcBorders>
              <w:top w:val="single" w:color="auto" w:sz="4" w:space="0"/>
              <w:left w:val="single" w:color="auto" w:sz="4" w:space="0"/>
            </w:tcBorders>
            <w:vAlign w:val="center"/>
          </w:tcPr>
          <w:p w14:paraId="1443C7B0">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464E5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4845CAB">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7EFF26FE">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31D78EA5">
            <w:pPr>
              <w:snapToGrid w:val="0"/>
              <w:spacing w:after="78" w:afterLines="25" w:line="400" w:lineRule="exact"/>
              <w:jc w:val="left"/>
              <w:rPr>
                <w:rFonts w:ascii="宋体" w:hAnsi="宋体" w:cs="宋体"/>
                <w:kern w:val="0"/>
                <w:highlight w:val="none"/>
              </w:rPr>
            </w:pPr>
            <w:r>
              <w:rPr>
                <w:rFonts w:hint="eastAsia" w:ascii="宋体" w:hAnsi="宋体" w:cs="宋体"/>
                <w:szCs w:val="21"/>
                <w:highlight w:val="none"/>
              </w:rPr>
              <w:t>投标截止日投标资格情况</w:t>
            </w:r>
          </w:p>
        </w:tc>
        <w:tc>
          <w:tcPr>
            <w:tcW w:w="4615" w:type="dxa"/>
            <w:tcBorders>
              <w:top w:val="single" w:color="auto" w:sz="4" w:space="0"/>
              <w:left w:val="single" w:color="auto" w:sz="4" w:space="0"/>
            </w:tcBorders>
            <w:vAlign w:val="center"/>
          </w:tcPr>
          <w:p w14:paraId="05736C3B">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4405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245404C">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4D739EBD">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06B5CD7A">
            <w:pPr>
              <w:snapToGrid w:val="0"/>
              <w:spacing w:line="400" w:lineRule="exact"/>
              <w:jc w:val="left"/>
              <w:rPr>
                <w:rFonts w:ascii="宋体" w:hAnsi="宋体" w:cs="宋体"/>
                <w:kern w:val="0"/>
                <w:highlight w:val="none"/>
              </w:rPr>
            </w:pPr>
            <w:r>
              <w:rPr>
                <w:rFonts w:hint="eastAsia" w:ascii="宋体" w:hAnsi="宋体" w:cs="宋体"/>
                <w:kern w:val="0"/>
                <w:highlight w:val="none"/>
              </w:rPr>
              <w:t>项目经理资格</w:t>
            </w:r>
          </w:p>
        </w:tc>
        <w:tc>
          <w:tcPr>
            <w:tcW w:w="4615" w:type="dxa"/>
            <w:tcBorders>
              <w:top w:val="single" w:color="auto" w:sz="4" w:space="0"/>
              <w:left w:val="single" w:color="auto" w:sz="4" w:space="0"/>
            </w:tcBorders>
            <w:vAlign w:val="center"/>
          </w:tcPr>
          <w:p w14:paraId="14021990">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599B1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EE2C989">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341B3B05">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077D277A">
            <w:pPr>
              <w:snapToGrid w:val="0"/>
              <w:spacing w:line="400" w:lineRule="exact"/>
              <w:jc w:val="left"/>
              <w:rPr>
                <w:rFonts w:ascii="宋体" w:hAnsi="宋体" w:cs="宋体"/>
                <w:kern w:val="0"/>
                <w:highlight w:val="none"/>
              </w:rPr>
            </w:pPr>
            <w:r>
              <w:rPr>
                <w:rFonts w:hint="eastAsia" w:ascii="宋体" w:hAnsi="宋体" w:cs="宋体"/>
                <w:kern w:val="0"/>
                <w:highlight w:val="none"/>
              </w:rPr>
              <w:t>其他要求</w:t>
            </w:r>
          </w:p>
        </w:tc>
        <w:tc>
          <w:tcPr>
            <w:tcW w:w="4615" w:type="dxa"/>
            <w:tcBorders>
              <w:top w:val="single" w:color="auto" w:sz="4" w:space="0"/>
              <w:left w:val="single" w:color="auto" w:sz="4" w:space="0"/>
            </w:tcBorders>
            <w:vAlign w:val="center"/>
          </w:tcPr>
          <w:p w14:paraId="468E97DD">
            <w:pPr>
              <w:snapToGrid w:val="0"/>
              <w:spacing w:line="400" w:lineRule="exact"/>
              <w:ind w:firstLine="420" w:firstLineChars="200"/>
              <w:rPr>
                <w:rFonts w:ascii="宋体" w:hAnsi="宋体" w:cs="宋体"/>
                <w:kern w:val="0"/>
                <w:highlight w:val="none"/>
                <w:u w:val="single"/>
              </w:rPr>
            </w:pPr>
            <w:r>
              <w:rPr>
                <w:rFonts w:hint="eastAsia" w:ascii="宋体" w:hAnsi="宋体" w:cs="宋体"/>
                <w:kern w:val="0"/>
                <w:highlight w:val="none"/>
              </w:rPr>
              <w:t>符合第二章“投标人须知”第1.4.1项规定</w:t>
            </w:r>
          </w:p>
        </w:tc>
      </w:tr>
      <w:tr w14:paraId="44841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F081E28">
            <w:pPr>
              <w:spacing w:line="400" w:lineRule="exact"/>
              <w:jc w:val="center"/>
              <w:rPr>
                <w:rFonts w:ascii="宋体" w:hAnsi="宋体"/>
                <w:kern w:val="0"/>
                <w:highlight w:val="none"/>
              </w:rPr>
            </w:pPr>
            <w:r>
              <w:rPr>
                <w:rFonts w:ascii="宋体" w:hAnsi="宋体"/>
                <w:kern w:val="0"/>
                <w:highlight w:val="none"/>
              </w:rPr>
              <w:t>2.</w:t>
            </w:r>
            <w:r>
              <w:rPr>
                <w:rFonts w:hint="eastAsia" w:ascii="宋体" w:hAnsi="宋体"/>
                <w:kern w:val="0"/>
                <w:highlight w:val="none"/>
              </w:rPr>
              <w:t>2</w:t>
            </w:r>
            <w:r>
              <w:rPr>
                <w:rFonts w:ascii="宋体" w:hAnsi="宋体"/>
                <w:kern w:val="0"/>
                <w:highlight w:val="none"/>
              </w:rPr>
              <w:t>.</w:t>
            </w:r>
            <w:r>
              <w:rPr>
                <w:rFonts w:hint="eastAsia" w:ascii="宋体" w:hAnsi="宋体"/>
                <w:kern w:val="0"/>
                <w:highlight w:val="none"/>
              </w:rPr>
              <w:t>3</w:t>
            </w:r>
          </w:p>
        </w:tc>
        <w:tc>
          <w:tcPr>
            <w:tcW w:w="1560" w:type="dxa"/>
            <w:vMerge w:val="restart"/>
            <w:tcBorders>
              <w:left w:val="single" w:color="auto" w:sz="4" w:space="0"/>
            </w:tcBorders>
            <w:vAlign w:val="center"/>
          </w:tcPr>
          <w:p w14:paraId="66C036CD">
            <w:pPr>
              <w:spacing w:line="400" w:lineRule="exact"/>
              <w:jc w:val="center"/>
              <w:rPr>
                <w:rFonts w:ascii="宋体" w:hAnsi="宋体"/>
                <w:kern w:val="0"/>
                <w:highlight w:val="none"/>
              </w:rPr>
            </w:pPr>
            <w:r>
              <w:rPr>
                <w:rFonts w:hint="eastAsia" w:ascii="宋体" w:hAnsi="宋体"/>
                <w:kern w:val="0"/>
                <w:highlight w:val="none"/>
              </w:rPr>
              <w:t>形式评审标准</w:t>
            </w:r>
          </w:p>
        </w:tc>
        <w:tc>
          <w:tcPr>
            <w:tcW w:w="2267" w:type="dxa"/>
            <w:tcBorders>
              <w:right w:val="single" w:color="auto" w:sz="4" w:space="0"/>
            </w:tcBorders>
            <w:vAlign w:val="center"/>
          </w:tcPr>
          <w:p w14:paraId="62F8F47E">
            <w:pPr>
              <w:spacing w:line="400" w:lineRule="exact"/>
              <w:jc w:val="left"/>
              <w:rPr>
                <w:rFonts w:ascii="宋体" w:hAnsi="宋体" w:cs="宋体"/>
                <w:kern w:val="0"/>
                <w:highlight w:val="none"/>
              </w:rPr>
            </w:pPr>
            <w:r>
              <w:rPr>
                <w:rFonts w:hint="eastAsia" w:ascii="宋体" w:hAnsi="宋体" w:cs="宋体"/>
                <w:kern w:val="0"/>
                <w:highlight w:val="none"/>
              </w:rPr>
              <w:t>投标人名称</w:t>
            </w:r>
          </w:p>
        </w:tc>
        <w:tc>
          <w:tcPr>
            <w:tcW w:w="4615" w:type="dxa"/>
            <w:tcBorders>
              <w:left w:val="single" w:color="auto" w:sz="4" w:space="0"/>
            </w:tcBorders>
            <w:vAlign w:val="center"/>
          </w:tcPr>
          <w:p w14:paraId="05A8F2CB">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与营业执照、资质证书、安全生产许可证一致。</w:t>
            </w:r>
          </w:p>
        </w:tc>
      </w:tr>
      <w:tr w14:paraId="1F652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A3400C8">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730F0E52">
            <w:pPr>
              <w:spacing w:line="400" w:lineRule="exact"/>
              <w:jc w:val="center"/>
              <w:rPr>
                <w:rFonts w:ascii="宋体" w:hAnsi="宋体"/>
                <w:b/>
                <w:kern w:val="0"/>
                <w:highlight w:val="none"/>
              </w:rPr>
            </w:pPr>
          </w:p>
        </w:tc>
        <w:tc>
          <w:tcPr>
            <w:tcW w:w="2267" w:type="dxa"/>
            <w:tcBorders>
              <w:right w:val="single" w:color="auto" w:sz="4" w:space="0"/>
            </w:tcBorders>
            <w:vAlign w:val="center"/>
          </w:tcPr>
          <w:p w14:paraId="6DA83D11">
            <w:pPr>
              <w:spacing w:line="400" w:lineRule="exact"/>
              <w:jc w:val="left"/>
              <w:rPr>
                <w:rFonts w:ascii="宋体" w:hAnsi="宋体" w:cs="宋体"/>
                <w:kern w:val="0"/>
                <w:highlight w:val="none"/>
              </w:rPr>
            </w:pPr>
            <w:r>
              <w:rPr>
                <w:rFonts w:hint="eastAsia" w:ascii="宋体" w:hAnsi="宋体" w:cs="宋体"/>
                <w:kern w:val="0"/>
                <w:highlight w:val="none"/>
              </w:rPr>
              <w:t>投标函签字盖章</w:t>
            </w:r>
          </w:p>
        </w:tc>
        <w:tc>
          <w:tcPr>
            <w:tcW w:w="4615" w:type="dxa"/>
            <w:tcBorders>
              <w:left w:val="single" w:color="auto" w:sz="4" w:space="0"/>
            </w:tcBorders>
            <w:vAlign w:val="center"/>
          </w:tcPr>
          <w:p w14:paraId="4C228CDA">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有法定代表人或其委托代理人签字（或盖章）、加盖单位法人章。</w:t>
            </w:r>
          </w:p>
        </w:tc>
      </w:tr>
      <w:tr w14:paraId="0D51C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B813BB1">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0EBC2839">
            <w:pPr>
              <w:spacing w:line="400" w:lineRule="exact"/>
              <w:jc w:val="center"/>
              <w:rPr>
                <w:rFonts w:ascii="宋体" w:hAnsi="宋体"/>
                <w:b/>
                <w:kern w:val="0"/>
                <w:highlight w:val="none"/>
              </w:rPr>
            </w:pPr>
          </w:p>
        </w:tc>
        <w:tc>
          <w:tcPr>
            <w:tcW w:w="2267" w:type="dxa"/>
            <w:tcBorders>
              <w:right w:val="single" w:color="auto" w:sz="4" w:space="0"/>
            </w:tcBorders>
            <w:vAlign w:val="center"/>
          </w:tcPr>
          <w:p w14:paraId="6372B5E3">
            <w:pPr>
              <w:spacing w:line="400" w:lineRule="exact"/>
              <w:jc w:val="left"/>
              <w:rPr>
                <w:rFonts w:ascii="宋体" w:hAnsi="宋体" w:cs="宋体"/>
                <w:kern w:val="0"/>
                <w:highlight w:val="none"/>
              </w:rPr>
            </w:pPr>
            <w:r>
              <w:rPr>
                <w:rFonts w:hint="eastAsia" w:ascii="宋体" w:hAnsi="宋体" w:cs="宋体"/>
                <w:kern w:val="0"/>
                <w:highlight w:val="none"/>
              </w:rPr>
              <w:t>投标文件格式</w:t>
            </w:r>
          </w:p>
        </w:tc>
        <w:tc>
          <w:tcPr>
            <w:tcW w:w="4615" w:type="dxa"/>
            <w:tcBorders>
              <w:left w:val="single" w:color="auto" w:sz="4" w:space="0"/>
            </w:tcBorders>
            <w:vAlign w:val="center"/>
          </w:tcPr>
          <w:p w14:paraId="1A6A6E96">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符合第八章“投标文件格式”的要求。</w:t>
            </w:r>
          </w:p>
        </w:tc>
      </w:tr>
      <w:tr w14:paraId="04093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F4D3F9F">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7DFC6BF5">
            <w:pPr>
              <w:spacing w:line="400" w:lineRule="exact"/>
              <w:jc w:val="center"/>
              <w:rPr>
                <w:rFonts w:ascii="宋体" w:hAnsi="宋体"/>
                <w:b/>
                <w:kern w:val="0"/>
                <w:highlight w:val="none"/>
              </w:rPr>
            </w:pPr>
          </w:p>
        </w:tc>
        <w:tc>
          <w:tcPr>
            <w:tcW w:w="2267" w:type="dxa"/>
            <w:tcBorders>
              <w:right w:val="single" w:color="auto" w:sz="4" w:space="0"/>
            </w:tcBorders>
            <w:vAlign w:val="center"/>
          </w:tcPr>
          <w:p w14:paraId="13560BA7">
            <w:pPr>
              <w:spacing w:line="400" w:lineRule="exact"/>
              <w:jc w:val="left"/>
              <w:rPr>
                <w:rFonts w:ascii="宋体" w:hAnsi="宋体" w:cs="宋体"/>
                <w:kern w:val="0"/>
                <w:highlight w:val="none"/>
              </w:rPr>
            </w:pPr>
            <w:r>
              <w:rPr>
                <w:rFonts w:hint="eastAsia" w:ascii="宋体" w:hAnsi="宋体" w:cs="宋体"/>
                <w:kern w:val="0"/>
                <w:highlight w:val="none"/>
              </w:rPr>
              <w:t>报价唯一</w:t>
            </w:r>
          </w:p>
        </w:tc>
        <w:tc>
          <w:tcPr>
            <w:tcW w:w="4615" w:type="dxa"/>
            <w:tcBorders>
              <w:left w:val="single" w:color="auto" w:sz="4" w:space="0"/>
            </w:tcBorders>
            <w:vAlign w:val="center"/>
          </w:tcPr>
          <w:p w14:paraId="7A4C2D34">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只能有一个有效报价。在</w:t>
            </w:r>
            <w:r>
              <w:rPr>
                <w:rFonts w:hint="eastAsia" w:ascii="宋体" w:hAnsi="宋体" w:cs="宋体"/>
                <w:kern w:val="0"/>
                <w:highlight w:val="none"/>
                <w:lang w:eastAsia="zh-CN"/>
              </w:rPr>
              <w:t>比选文件</w:t>
            </w:r>
            <w:r>
              <w:rPr>
                <w:rFonts w:hint="eastAsia" w:ascii="宋体" w:hAnsi="宋体" w:cs="宋体"/>
                <w:kern w:val="0"/>
                <w:highlight w:val="none"/>
              </w:rPr>
              <w:t>没有规定的情况下，不得提交选择性报价。</w:t>
            </w:r>
          </w:p>
        </w:tc>
      </w:tr>
      <w:tr w14:paraId="5A703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5704F5A">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0640B23C">
            <w:pPr>
              <w:spacing w:line="400" w:lineRule="exact"/>
              <w:jc w:val="center"/>
              <w:rPr>
                <w:rFonts w:ascii="宋体" w:hAnsi="宋体"/>
                <w:b/>
                <w:kern w:val="0"/>
                <w:highlight w:val="none"/>
              </w:rPr>
            </w:pPr>
          </w:p>
        </w:tc>
        <w:tc>
          <w:tcPr>
            <w:tcW w:w="2267" w:type="dxa"/>
            <w:tcBorders>
              <w:right w:val="single" w:color="auto" w:sz="4" w:space="0"/>
            </w:tcBorders>
            <w:vAlign w:val="center"/>
          </w:tcPr>
          <w:p w14:paraId="0B0F3631">
            <w:pPr>
              <w:spacing w:line="400" w:lineRule="exact"/>
              <w:jc w:val="left"/>
              <w:rPr>
                <w:rFonts w:ascii="宋体" w:hAnsi="宋体" w:cs="宋体"/>
                <w:kern w:val="0"/>
                <w:highlight w:val="none"/>
              </w:rPr>
            </w:pPr>
            <w:r>
              <w:rPr>
                <w:rFonts w:hint="eastAsia" w:ascii="宋体" w:hAnsi="宋体" w:cs="宋体"/>
                <w:kern w:val="0"/>
                <w:highlight w:val="none"/>
              </w:rPr>
              <w:t>投标文件的签署</w:t>
            </w:r>
          </w:p>
        </w:tc>
        <w:tc>
          <w:tcPr>
            <w:tcW w:w="4615" w:type="dxa"/>
            <w:tcBorders>
              <w:left w:val="single" w:color="auto" w:sz="4" w:space="0"/>
            </w:tcBorders>
            <w:vAlign w:val="center"/>
          </w:tcPr>
          <w:p w14:paraId="1C9F66FC">
            <w:pPr>
              <w:autoSpaceDE w:val="0"/>
              <w:autoSpaceDN w:val="0"/>
              <w:adjustRightInd w:val="0"/>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投标文件上法定代表人或其委托代理人的签字（或盖章）齐全。</w:t>
            </w:r>
          </w:p>
        </w:tc>
      </w:tr>
      <w:tr w14:paraId="2D6D9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DAE3D47">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228A0584">
            <w:pPr>
              <w:spacing w:line="400" w:lineRule="exact"/>
              <w:jc w:val="center"/>
              <w:rPr>
                <w:rFonts w:ascii="宋体" w:hAnsi="宋体"/>
                <w:b/>
                <w:kern w:val="0"/>
                <w:highlight w:val="none"/>
              </w:rPr>
            </w:pPr>
          </w:p>
        </w:tc>
        <w:tc>
          <w:tcPr>
            <w:tcW w:w="2267" w:type="dxa"/>
            <w:tcBorders>
              <w:right w:val="single" w:color="auto" w:sz="4" w:space="0"/>
            </w:tcBorders>
            <w:vAlign w:val="center"/>
          </w:tcPr>
          <w:p w14:paraId="1CE8C19E">
            <w:pPr>
              <w:spacing w:line="400" w:lineRule="exact"/>
              <w:jc w:val="left"/>
              <w:rPr>
                <w:rFonts w:ascii="宋体" w:hAnsi="宋体" w:cs="宋体"/>
                <w:kern w:val="0"/>
                <w:highlight w:val="none"/>
              </w:rPr>
            </w:pPr>
            <w:r>
              <w:rPr>
                <w:rFonts w:hint="eastAsia" w:ascii="宋体" w:hAnsi="宋体" w:cs="宋体"/>
                <w:kern w:val="0"/>
                <w:highlight w:val="none"/>
              </w:rPr>
              <w:t>委托代理人</w:t>
            </w:r>
          </w:p>
        </w:tc>
        <w:tc>
          <w:tcPr>
            <w:tcW w:w="4615" w:type="dxa"/>
            <w:tcBorders>
              <w:left w:val="single" w:color="auto" w:sz="4" w:space="0"/>
            </w:tcBorders>
            <w:vAlign w:val="center"/>
          </w:tcPr>
          <w:p w14:paraId="758D6CB1">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rPr>
              <w:t>投标人法定代表人的委托代理人有法定代表人签署的授权委托书和养老保险。</w:t>
            </w:r>
          </w:p>
        </w:tc>
      </w:tr>
      <w:tr w14:paraId="278B8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49FBCEEE">
            <w:pPr>
              <w:spacing w:line="400" w:lineRule="exact"/>
              <w:jc w:val="center"/>
              <w:rPr>
                <w:rFonts w:ascii="宋体" w:hAnsi="宋体"/>
                <w:kern w:val="0"/>
                <w:highlight w:val="none"/>
              </w:rPr>
            </w:pPr>
            <w:r>
              <w:rPr>
                <w:rFonts w:hint="eastAsia" w:ascii="宋体" w:hAnsi="宋体"/>
                <w:kern w:val="0"/>
                <w:highlight w:val="none"/>
              </w:rPr>
              <w:t>2.2.4</w:t>
            </w:r>
          </w:p>
        </w:tc>
        <w:tc>
          <w:tcPr>
            <w:tcW w:w="1560" w:type="dxa"/>
            <w:vMerge w:val="restart"/>
            <w:tcBorders>
              <w:left w:val="single" w:color="auto" w:sz="4" w:space="0"/>
            </w:tcBorders>
            <w:vAlign w:val="center"/>
          </w:tcPr>
          <w:p w14:paraId="3743BE7A">
            <w:pPr>
              <w:spacing w:line="400" w:lineRule="exact"/>
              <w:jc w:val="center"/>
              <w:rPr>
                <w:rFonts w:ascii="宋体" w:hAnsi="宋体"/>
                <w:kern w:val="0"/>
                <w:highlight w:val="none"/>
              </w:rPr>
            </w:pPr>
            <w:r>
              <w:rPr>
                <w:rFonts w:hint="eastAsia" w:ascii="宋体" w:hAnsi="宋体"/>
                <w:kern w:val="0"/>
                <w:highlight w:val="none"/>
              </w:rPr>
              <w:t>响应性评审标准</w:t>
            </w:r>
          </w:p>
        </w:tc>
        <w:tc>
          <w:tcPr>
            <w:tcW w:w="2267" w:type="dxa"/>
            <w:tcBorders>
              <w:right w:val="single" w:color="auto" w:sz="4" w:space="0"/>
            </w:tcBorders>
            <w:vAlign w:val="center"/>
          </w:tcPr>
          <w:p w14:paraId="24E2ED4D">
            <w:pPr>
              <w:snapToGrid w:val="0"/>
              <w:spacing w:line="400" w:lineRule="exact"/>
              <w:jc w:val="left"/>
              <w:rPr>
                <w:rFonts w:ascii="宋体" w:hAnsi="宋体" w:cs="宋体"/>
                <w:kern w:val="0"/>
                <w:highlight w:val="none"/>
              </w:rPr>
            </w:pPr>
            <w:r>
              <w:rPr>
                <w:rFonts w:hint="eastAsia" w:ascii="宋体" w:hAnsi="宋体" w:cs="宋体"/>
                <w:kern w:val="0"/>
                <w:highlight w:val="none"/>
              </w:rPr>
              <w:t>投标总报价</w:t>
            </w:r>
          </w:p>
        </w:tc>
        <w:tc>
          <w:tcPr>
            <w:tcW w:w="4615" w:type="dxa"/>
            <w:tcBorders>
              <w:left w:val="single" w:color="auto" w:sz="4" w:space="0"/>
            </w:tcBorders>
            <w:vAlign w:val="center"/>
          </w:tcPr>
          <w:p w14:paraId="7148A091">
            <w:pPr>
              <w:snapToGrid w:val="0"/>
              <w:spacing w:line="400" w:lineRule="exact"/>
              <w:ind w:firstLine="420" w:firstLineChars="200"/>
              <w:rPr>
                <w:rFonts w:ascii="宋体" w:hAnsi="宋体" w:cs="宋体"/>
                <w:kern w:val="0"/>
                <w:highlight w:val="none"/>
              </w:rPr>
            </w:pPr>
            <w:r>
              <w:rPr>
                <w:rFonts w:hint="eastAsia" w:ascii="宋体" w:hAnsi="宋体" w:cs="宋体"/>
                <w:szCs w:val="21"/>
                <w:highlight w:val="none"/>
              </w:rPr>
              <w:t>投标总报价不得高于</w:t>
            </w:r>
            <w:r>
              <w:rPr>
                <w:rFonts w:hint="eastAsia" w:ascii="宋体" w:hAnsi="宋体" w:cs="宋体"/>
                <w:szCs w:val="21"/>
                <w:highlight w:val="none"/>
                <w:lang w:eastAsia="zh-CN"/>
              </w:rPr>
              <w:t>比选人</w:t>
            </w:r>
            <w:r>
              <w:rPr>
                <w:rFonts w:hint="eastAsia" w:ascii="宋体" w:hAnsi="宋体" w:cs="宋体"/>
                <w:szCs w:val="21"/>
                <w:highlight w:val="none"/>
              </w:rPr>
              <w:t>公布的投标总报价最高限价。</w:t>
            </w:r>
          </w:p>
        </w:tc>
      </w:tr>
      <w:tr w14:paraId="3131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ABEC6AE">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1A03E438">
            <w:pPr>
              <w:spacing w:line="400" w:lineRule="exact"/>
              <w:jc w:val="center"/>
              <w:rPr>
                <w:rFonts w:ascii="宋体" w:hAnsi="宋体"/>
                <w:kern w:val="0"/>
                <w:highlight w:val="none"/>
              </w:rPr>
            </w:pPr>
          </w:p>
        </w:tc>
        <w:tc>
          <w:tcPr>
            <w:tcW w:w="2267" w:type="dxa"/>
            <w:tcBorders>
              <w:right w:val="single" w:color="auto" w:sz="4" w:space="0"/>
            </w:tcBorders>
            <w:vAlign w:val="center"/>
          </w:tcPr>
          <w:p w14:paraId="12F083DA">
            <w:pPr>
              <w:snapToGrid w:val="0"/>
              <w:spacing w:line="400" w:lineRule="exact"/>
              <w:jc w:val="left"/>
              <w:rPr>
                <w:rFonts w:ascii="宋体" w:hAnsi="宋体" w:cs="宋体"/>
                <w:kern w:val="0"/>
                <w:highlight w:val="none"/>
              </w:rPr>
            </w:pPr>
            <w:r>
              <w:rPr>
                <w:rFonts w:hint="eastAsia" w:ascii="宋体" w:hAnsi="宋体" w:cs="宋体"/>
                <w:kern w:val="0"/>
                <w:highlight w:val="none"/>
              </w:rPr>
              <w:t>投标内容</w:t>
            </w:r>
          </w:p>
        </w:tc>
        <w:tc>
          <w:tcPr>
            <w:tcW w:w="4615" w:type="dxa"/>
            <w:tcBorders>
              <w:left w:val="single" w:color="auto" w:sz="4" w:space="0"/>
            </w:tcBorders>
            <w:vAlign w:val="center"/>
          </w:tcPr>
          <w:p w14:paraId="5A987D1D">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符合第二章“投标人须知”第1.3.1项规定</w:t>
            </w:r>
          </w:p>
        </w:tc>
      </w:tr>
      <w:tr w14:paraId="3EA1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49D4C21">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08AE9502">
            <w:pPr>
              <w:spacing w:line="400" w:lineRule="exact"/>
              <w:jc w:val="center"/>
              <w:rPr>
                <w:rFonts w:ascii="宋体" w:hAnsi="宋体"/>
                <w:kern w:val="0"/>
                <w:highlight w:val="none"/>
              </w:rPr>
            </w:pPr>
          </w:p>
        </w:tc>
        <w:tc>
          <w:tcPr>
            <w:tcW w:w="2267" w:type="dxa"/>
            <w:tcBorders>
              <w:right w:val="single" w:color="auto" w:sz="4" w:space="0"/>
            </w:tcBorders>
            <w:vAlign w:val="center"/>
          </w:tcPr>
          <w:p w14:paraId="59FF9A59">
            <w:pPr>
              <w:snapToGrid w:val="0"/>
              <w:spacing w:line="400" w:lineRule="exact"/>
              <w:jc w:val="left"/>
              <w:rPr>
                <w:rFonts w:ascii="宋体" w:hAnsi="宋体" w:cs="宋体"/>
                <w:kern w:val="0"/>
                <w:highlight w:val="none"/>
              </w:rPr>
            </w:pPr>
            <w:r>
              <w:rPr>
                <w:rFonts w:hint="eastAsia" w:ascii="宋体" w:hAnsi="宋体" w:cs="宋体"/>
                <w:kern w:val="0"/>
                <w:highlight w:val="none"/>
              </w:rPr>
              <w:t>工期</w:t>
            </w:r>
          </w:p>
        </w:tc>
        <w:tc>
          <w:tcPr>
            <w:tcW w:w="4615" w:type="dxa"/>
            <w:tcBorders>
              <w:left w:val="single" w:color="auto" w:sz="4" w:space="0"/>
            </w:tcBorders>
            <w:vAlign w:val="center"/>
          </w:tcPr>
          <w:p w14:paraId="15F2BC61">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符合第二章“投标人须知”第1.3.2项规定</w:t>
            </w:r>
          </w:p>
        </w:tc>
      </w:tr>
      <w:tr w14:paraId="22115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ECFE29B">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3EBA0BB8">
            <w:pPr>
              <w:spacing w:line="400" w:lineRule="exact"/>
              <w:jc w:val="center"/>
              <w:rPr>
                <w:rFonts w:ascii="宋体" w:hAnsi="宋体"/>
                <w:kern w:val="0"/>
                <w:highlight w:val="none"/>
              </w:rPr>
            </w:pPr>
          </w:p>
        </w:tc>
        <w:tc>
          <w:tcPr>
            <w:tcW w:w="2267" w:type="dxa"/>
            <w:tcBorders>
              <w:right w:val="single" w:color="auto" w:sz="4" w:space="0"/>
            </w:tcBorders>
            <w:vAlign w:val="center"/>
          </w:tcPr>
          <w:p w14:paraId="2B5A283C">
            <w:pPr>
              <w:snapToGrid w:val="0"/>
              <w:spacing w:line="400" w:lineRule="exact"/>
              <w:jc w:val="left"/>
              <w:rPr>
                <w:rFonts w:ascii="宋体" w:hAnsi="宋体" w:cs="宋体"/>
                <w:kern w:val="0"/>
                <w:highlight w:val="none"/>
              </w:rPr>
            </w:pPr>
            <w:r>
              <w:rPr>
                <w:rFonts w:hint="eastAsia" w:ascii="宋体" w:hAnsi="宋体" w:cs="宋体"/>
                <w:kern w:val="0"/>
                <w:highlight w:val="none"/>
              </w:rPr>
              <w:t>工程质量</w:t>
            </w:r>
          </w:p>
        </w:tc>
        <w:tc>
          <w:tcPr>
            <w:tcW w:w="4615" w:type="dxa"/>
            <w:tcBorders>
              <w:left w:val="single" w:color="auto" w:sz="4" w:space="0"/>
            </w:tcBorders>
            <w:vAlign w:val="center"/>
          </w:tcPr>
          <w:p w14:paraId="1870CBD6">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符合第二章“投标人须知”第1.3.3项规定</w:t>
            </w:r>
          </w:p>
        </w:tc>
      </w:tr>
      <w:tr w14:paraId="1D5B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F0FE028">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0E382176">
            <w:pPr>
              <w:spacing w:line="400" w:lineRule="exact"/>
              <w:jc w:val="center"/>
              <w:rPr>
                <w:rFonts w:ascii="宋体" w:hAnsi="宋体"/>
                <w:kern w:val="0"/>
                <w:highlight w:val="none"/>
              </w:rPr>
            </w:pPr>
          </w:p>
        </w:tc>
        <w:tc>
          <w:tcPr>
            <w:tcW w:w="2267" w:type="dxa"/>
            <w:tcBorders>
              <w:right w:val="single" w:color="auto" w:sz="4" w:space="0"/>
            </w:tcBorders>
            <w:vAlign w:val="center"/>
          </w:tcPr>
          <w:p w14:paraId="050B46DD">
            <w:pPr>
              <w:snapToGrid w:val="0"/>
              <w:spacing w:line="400" w:lineRule="exact"/>
              <w:jc w:val="left"/>
              <w:rPr>
                <w:rFonts w:ascii="宋体" w:hAnsi="宋体" w:cs="宋体"/>
                <w:kern w:val="0"/>
                <w:highlight w:val="none"/>
              </w:rPr>
            </w:pPr>
            <w:r>
              <w:rPr>
                <w:rFonts w:hint="eastAsia" w:ascii="宋体" w:hAnsi="宋体" w:cs="宋体"/>
                <w:kern w:val="0"/>
                <w:highlight w:val="none"/>
              </w:rPr>
              <w:t>投标有效期</w:t>
            </w:r>
          </w:p>
        </w:tc>
        <w:tc>
          <w:tcPr>
            <w:tcW w:w="4615" w:type="dxa"/>
            <w:tcBorders>
              <w:left w:val="single" w:color="auto" w:sz="4" w:space="0"/>
            </w:tcBorders>
            <w:vAlign w:val="center"/>
          </w:tcPr>
          <w:p w14:paraId="32B67D9B">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符合第二章“投标人须知”第3.3.1项规定</w:t>
            </w:r>
          </w:p>
        </w:tc>
      </w:tr>
      <w:tr w14:paraId="24D3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4605DF">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7D098F14">
            <w:pPr>
              <w:spacing w:line="400" w:lineRule="exact"/>
              <w:jc w:val="center"/>
              <w:rPr>
                <w:rFonts w:ascii="宋体" w:hAnsi="宋体"/>
                <w:kern w:val="0"/>
                <w:highlight w:val="none"/>
              </w:rPr>
            </w:pPr>
          </w:p>
        </w:tc>
        <w:tc>
          <w:tcPr>
            <w:tcW w:w="2267" w:type="dxa"/>
            <w:tcBorders>
              <w:right w:val="single" w:color="auto" w:sz="4" w:space="0"/>
            </w:tcBorders>
            <w:vAlign w:val="center"/>
          </w:tcPr>
          <w:p w14:paraId="4C93EB21">
            <w:pPr>
              <w:spacing w:line="400" w:lineRule="exact"/>
              <w:jc w:val="left"/>
              <w:rPr>
                <w:rFonts w:ascii="宋体" w:hAnsi="宋体" w:cs="宋体"/>
                <w:kern w:val="0"/>
                <w:highlight w:val="none"/>
              </w:rPr>
            </w:pPr>
            <w:r>
              <w:rPr>
                <w:rFonts w:hint="eastAsia" w:ascii="宋体" w:hAnsi="宋体" w:cs="宋体"/>
                <w:kern w:val="0"/>
                <w:highlight w:val="none"/>
              </w:rPr>
              <w:t>投标保证金</w:t>
            </w:r>
          </w:p>
        </w:tc>
        <w:tc>
          <w:tcPr>
            <w:tcW w:w="4615" w:type="dxa"/>
            <w:tcBorders>
              <w:left w:val="single" w:color="auto" w:sz="4" w:space="0"/>
            </w:tcBorders>
            <w:vAlign w:val="center"/>
          </w:tcPr>
          <w:p w14:paraId="0D06CFA1">
            <w:pPr>
              <w:tabs>
                <w:tab w:val="left" w:pos="611"/>
                <w:tab w:val="left" w:pos="669"/>
              </w:tabs>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符合第二章“投标人须知前附表”第3.4项规定。</w:t>
            </w:r>
          </w:p>
        </w:tc>
      </w:tr>
      <w:tr w14:paraId="6BD4B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9265D4">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6CE1982C">
            <w:pPr>
              <w:spacing w:line="400" w:lineRule="exact"/>
              <w:jc w:val="center"/>
              <w:rPr>
                <w:rFonts w:ascii="宋体" w:hAnsi="宋体"/>
                <w:kern w:val="0"/>
                <w:highlight w:val="none"/>
              </w:rPr>
            </w:pPr>
          </w:p>
        </w:tc>
        <w:tc>
          <w:tcPr>
            <w:tcW w:w="2267" w:type="dxa"/>
            <w:tcBorders>
              <w:right w:val="single" w:color="auto" w:sz="4" w:space="0"/>
            </w:tcBorders>
            <w:vAlign w:val="center"/>
          </w:tcPr>
          <w:p w14:paraId="755B40A0">
            <w:pPr>
              <w:snapToGrid w:val="0"/>
              <w:spacing w:line="400" w:lineRule="exact"/>
              <w:jc w:val="left"/>
              <w:rPr>
                <w:rFonts w:ascii="宋体" w:hAnsi="宋体" w:cs="宋体"/>
                <w:kern w:val="0"/>
                <w:highlight w:val="none"/>
              </w:rPr>
            </w:pPr>
            <w:r>
              <w:rPr>
                <w:rFonts w:hint="eastAsia" w:ascii="宋体" w:hAnsi="宋体" w:cs="宋体"/>
                <w:kern w:val="0"/>
                <w:highlight w:val="none"/>
              </w:rPr>
              <w:t>权利义务</w:t>
            </w:r>
          </w:p>
        </w:tc>
        <w:tc>
          <w:tcPr>
            <w:tcW w:w="4615" w:type="dxa"/>
            <w:tcBorders>
              <w:left w:val="single" w:color="auto" w:sz="4" w:space="0"/>
            </w:tcBorders>
            <w:vAlign w:val="center"/>
          </w:tcPr>
          <w:p w14:paraId="2C8E7CBB">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符合第四章“合同条款及格式”规定，投标文件不应附有</w:t>
            </w:r>
            <w:r>
              <w:rPr>
                <w:rFonts w:hint="eastAsia" w:ascii="宋体" w:hAnsi="宋体" w:cs="宋体"/>
                <w:kern w:val="0"/>
                <w:highlight w:val="none"/>
                <w:lang w:eastAsia="zh-CN"/>
              </w:rPr>
              <w:t>比选人</w:t>
            </w:r>
            <w:r>
              <w:rPr>
                <w:rFonts w:hint="eastAsia" w:ascii="宋体" w:hAnsi="宋体" w:cs="宋体"/>
                <w:kern w:val="0"/>
                <w:highlight w:val="none"/>
              </w:rPr>
              <w:t>不能接受的条件。</w:t>
            </w:r>
          </w:p>
        </w:tc>
      </w:tr>
      <w:tr w14:paraId="306A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3DF2C48">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78189825">
            <w:pPr>
              <w:spacing w:line="400" w:lineRule="exact"/>
              <w:jc w:val="center"/>
              <w:rPr>
                <w:rFonts w:ascii="宋体" w:hAnsi="宋体"/>
                <w:kern w:val="0"/>
                <w:highlight w:val="none"/>
              </w:rPr>
            </w:pPr>
          </w:p>
        </w:tc>
        <w:tc>
          <w:tcPr>
            <w:tcW w:w="2267" w:type="dxa"/>
            <w:tcBorders>
              <w:right w:val="single" w:color="auto" w:sz="4" w:space="0"/>
            </w:tcBorders>
            <w:vAlign w:val="center"/>
          </w:tcPr>
          <w:p w14:paraId="1A5837EF">
            <w:pPr>
              <w:snapToGrid w:val="0"/>
              <w:spacing w:line="400" w:lineRule="exact"/>
              <w:jc w:val="left"/>
              <w:rPr>
                <w:rFonts w:ascii="宋体" w:hAnsi="宋体" w:cs="宋体"/>
                <w:kern w:val="0"/>
                <w:highlight w:val="none"/>
              </w:rPr>
            </w:pPr>
            <w:r>
              <w:rPr>
                <w:rFonts w:hint="eastAsia" w:ascii="宋体" w:hAnsi="宋体" w:cs="宋体"/>
                <w:kern w:val="0"/>
                <w:highlight w:val="none"/>
              </w:rPr>
              <w:t>已标价</w:t>
            </w:r>
          </w:p>
          <w:p w14:paraId="3D96C381">
            <w:pPr>
              <w:snapToGrid w:val="0"/>
              <w:spacing w:line="400" w:lineRule="exact"/>
              <w:jc w:val="left"/>
              <w:rPr>
                <w:rFonts w:ascii="宋体" w:hAnsi="宋体" w:cs="宋体"/>
                <w:kern w:val="0"/>
                <w:highlight w:val="none"/>
              </w:rPr>
            </w:pPr>
            <w:r>
              <w:rPr>
                <w:rFonts w:hint="eastAsia" w:ascii="宋体" w:hAnsi="宋体" w:cs="宋体"/>
                <w:kern w:val="0"/>
                <w:highlight w:val="none"/>
              </w:rPr>
              <w:t>工程量清单</w:t>
            </w:r>
          </w:p>
        </w:tc>
        <w:tc>
          <w:tcPr>
            <w:tcW w:w="4615" w:type="dxa"/>
            <w:tcBorders>
              <w:left w:val="single" w:color="auto" w:sz="4" w:space="0"/>
            </w:tcBorders>
            <w:vAlign w:val="center"/>
          </w:tcPr>
          <w:p w14:paraId="1B61165C">
            <w:pPr>
              <w:spacing w:after="62" w:afterLines="20" w:line="400" w:lineRule="exact"/>
              <w:ind w:firstLine="420" w:firstLineChars="200"/>
              <w:rPr>
                <w:rFonts w:hint="eastAsia" w:ascii="宋体" w:hAnsi="宋体" w:cs="宋体"/>
                <w:kern w:val="0"/>
                <w:highlight w:val="none"/>
              </w:rPr>
            </w:pPr>
            <w:r>
              <w:rPr>
                <w:rFonts w:hint="eastAsia" w:ascii="宋体" w:hAnsi="宋体" w:cs="宋体"/>
                <w:kern w:val="0"/>
                <w:highlight w:val="none"/>
              </w:rPr>
              <w:t>投标人承诺（格式自拟）满足以下内容：</w:t>
            </w:r>
          </w:p>
          <w:p w14:paraId="4E286DCE">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rPr>
              <w:t>1.符合第五章“工程量清单”给出的范围及数量。</w:t>
            </w:r>
          </w:p>
          <w:p w14:paraId="7F693850">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eastAsia="zh-CN"/>
              </w:rPr>
              <w:t>比选文件</w:t>
            </w:r>
            <w:r>
              <w:rPr>
                <w:rFonts w:hint="eastAsia" w:ascii="宋体" w:hAnsi="宋体" w:cs="宋体"/>
                <w:kern w:val="0"/>
                <w:highlight w:val="none"/>
              </w:rPr>
              <w:t>中规定工程量清单不允许修改的内容不得修改。</w:t>
            </w:r>
          </w:p>
          <w:p w14:paraId="71A6940D">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3.每项工程量清单综合单价报价不得高于对应工程量清单综合单价最高限价。</w:t>
            </w:r>
          </w:p>
        </w:tc>
      </w:tr>
      <w:tr w14:paraId="167B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BC941C0">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0A3F2812">
            <w:pPr>
              <w:spacing w:line="400" w:lineRule="exact"/>
              <w:jc w:val="center"/>
              <w:rPr>
                <w:rFonts w:ascii="宋体" w:hAnsi="宋体"/>
                <w:kern w:val="0"/>
                <w:highlight w:val="none"/>
              </w:rPr>
            </w:pPr>
          </w:p>
        </w:tc>
        <w:tc>
          <w:tcPr>
            <w:tcW w:w="2267" w:type="dxa"/>
            <w:tcBorders>
              <w:right w:val="single" w:color="auto" w:sz="4" w:space="0"/>
            </w:tcBorders>
            <w:vAlign w:val="center"/>
          </w:tcPr>
          <w:p w14:paraId="7A7FE155">
            <w:pPr>
              <w:snapToGrid w:val="0"/>
              <w:spacing w:line="400" w:lineRule="exact"/>
              <w:jc w:val="left"/>
              <w:rPr>
                <w:rFonts w:ascii="宋体" w:hAnsi="宋体" w:cs="宋体"/>
                <w:kern w:val="0"/>
                <w:highlight w:val="none"/>
              </w:rPr>
            </w:pPr>
            <w:r>
              <w:rPr>
                <w:rFonts w:hint="eastAsia" w:ascii="宋体" w:hAnsi="宋体" w:cs="宋体"/>
                <w:kern w:val="0"/>
                <w:highlight w:val="none"/>
              </w:rPr>
              <w:t>投标报价算术错误修正</w:t>
            </w:r>
          </w:p>
        </w:tc>
        <w:tc>
          <w:tcPr>
            <w:tcW w:w="4615" w:type="dxa"/>
            <w:tcBorders>
              <w:left w:val="single" w:color="auto" w:sz="4" w:space="0"/>
            </w:tcBorders>
            <w:vAlign w:val="center"/>
          </w:tcPr>
          <w:p w14:paraId="6958518A">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符合第三章3.评标程序第3.1项规定。</w:t>
            </w:r>
          </w:p>
        </w:tc>
      </w:tr>
      <w:tr w14:paraId="242F9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6FA8AE7">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009EF90C">
            <w:pPr>
              <w:spacing w:line="400" w:lineRule="exact"/>
              <w:jc w:val="center"/>
              <w:rPr>
                <w:rFonts w:ascii="宋体" w:hAnsi="宋体"/>
                <w:kern w:val="0"/>
                <w:highlight w:val="none"/>
              </w:rPr>
            </w:pPr>
          </w:p>
        </w:tc>
        <w:tc>
          <w:tcPr>
            <w:tcW w:w="2267" w:type="dxa"/>
            <w:tcBorders>
              <w:right w:val="single" w:color="auto" w:sz="4" w:space="0"/>
            </w:tcBorders>
            <w:vAlign w:val="center"/>
          </w:tcPr>
          <w:p w14:paraId="6341F53C">
            <w:pPr>
              <w:snapToGrid w:val="0"/>
              <w:spacing w:line="400" w:lineRule="exact"/>
              <w:jc w:val="left"/>
              <w:rPr>
                <w:rFonts w:ascii="宋体" w:hAnsi="宋体" w:cs="宋体"/>
                <w:kern w:val="0"/>
                <w:highlight w:val="none"/>
              </w:rPr>
            </w:pPr>
            <w:r>
              <w:rPr>
                <w:rFonts w:hint="eastAsia" w:ascii="宋体" w:hAnsi="宋体" w:cs="宋体"/>
                <w:kern w:val="0"/>
                <w:highlight w:val="none"/>
              </w:rPr>
              <w:t>实质性要求</w:t>
            </w:r>
          </w:p>
        </w:tc>
        <w:tc>
          <w:tcPr>
            <w:tcW w:w="4615" w:type="dxa"/>
            <w:tcBorders>
              <w:left w:val="single" w:color="auto" w:sz="4" w:space="0"/>
            </w:tcBorders>
            <w:vAlign w:val="center"/>
          </w:tcPr>
          <w:p w14:paraId="363AE4F8">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涉嫌串通投标、弄虚作假等其他违反招投标相关法律、法规行为的。</w:t>
            </w:r>
          </w:p>
        </w:tc>
      </w:tr>
      <w:tr w14:paraId="0C138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BEE5C0D">
            <w:pPr>
              <w:spacing w:line="400" w:lineRule="exact"/>
              <w:jc w:val="center"/>
              <w:rPr>
                <w:rFonts w:ascii="宋体" w:hAnsi="宋体"/>
                <w:highlight w:val="none"/>
              </w:rPr>
            </w:pPr>
            <w:r>
              <w:rPr>
                <w:rFonts w:ascii="宋体" w:hAnsi="宋体"/>
                <w:highlight w:val="none"/>
              </w:rPr>
              <w:t>3</w:t>
            </w:r>
          </w:p>
        </w:tc>
        <w:tc>
          <w:tcPr>
            <w:tcW w:w="1560" w:type="dxa"/>
            <w:tcBorders>
              <w:left w:val="single" w:color="auto" w:sz="4" w:space="0"/>
              <w:right w:val="single" w:color="auto" w:sz="4" w:space="0"/>
            </w:tcBorders>
            <w:vAlign w:val="center"/>
          </w:tcPr>
          <w:p w14:paraId="294F00BF">
            <w:pPr>
              <w:spacing w:line="400" w:lineRule="exact"/>
              <w:jc w:val="center"/>
              <w:rPr>
                <w:rFonts w:ascii="宋体" w:hAnsi="宋体"/>
                <w:highlight w:val="none"/>
              </w:rPr>
            </w:pPr>
            <w:r>
              <w:rPr>
                <w:rFonts w:hint="eastAsia" w:ascii="宋体" w:hAnsi="宋体"/>
                <w:highlight w:val="none"/>
              </w:rPr>
              <w:t>评标程序</w:t>
            </w:r>
          </w:p>
        </w:tc>
        <w:tc>
          <w:tcPr>
            <w:tcW w:w="6882" w:type="dxa"/>
            <w:gridSpan w:val="2"/>
            <w:tcBorders>
              <w:left w:val="single" w:color="auto" w:sz="4" w:space="0"/>
            </w:tcBorders>
            <w:vAlign w:val="center"/>
          </w:tcPr>
          <w:p w14:paraId="7590E541">
            <w:pPr>
              <w:spacing w:after="31" w:afterLines="10"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1.对报价不高于最高限价的所有投标人的投标文件，按照报价由低到高的顺序排序。</w:t>
            </w:r>
          </w:p>
          <w:p w14:paraId="239FB07E">
            <w:pPr>
              <w:spacing w:after="31" w:afterLines="10"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2.取报价排序前</w:t>
            </w:r>
            <w:r>
              <w:rPr>
                <w:rFonts w:hint="eastAsia" w:ascii="宋体" w:hAnsi="宋体"/>
                <w:kern w:val="0"/>
                <w:szCs w:val="21"/>
                <w:highlight w:val="none"/>
                <w:lang w:val="en-US" w:eastAsia="zh-CN"/>
              </w:rPr>
              <w:t>5</w:t>
            </w:r>
            <w:r>
              <w:rPr>
                <w:rFonts w:hint="eastAsia" w:ascii="宋体" w:hAnsi="宋体"/>
                <w:kern w:val="0"/>
                <w:szCs w:val="21"/>
                <w:highlight w:val="none"/>
              </w:rPr>
              <w:t>名（若实际投标人数量小于勾选数量，</w:t>
            </w:r>
            <w:r>
              <w:rPr>
                <w:rFonts w:hint="eastAsia" w:ascii="宋体" w:hAnsi="宋体"/>
                <w:spacing w:val="4"/>
                <w:kern w:val="0"/>
                <w:szCs w:val="21"/>
                <w:highlight w:val="none"/>
              </w:rPr>
              <w:t>则全部纳入）进行符合性审查。符合性审查内容：资格评审、形式评审、响应性评审。符合性审查</w:t>
            </w:r>
            <w:r>
              <w:rPr>
                <w:rFonts w:hint="eastAsia" w:ascii="宋体" w:hAnsi="宋体"/>
                <w:kern w:val="0"/>
                <w:szCs w:val="21"/>
                <w:highlight w:val="none"/>
              </w:rPr>
              <w:t>合格的投标人中，报价最低的成为第一中标候选人，报价次低的成为第二中标候选人，依次类推。</w:t>
            </w:r>
          </w:p>
          <w:p w14:paraId="48010A38">
            <w:pPr>
              <w:spacing w:after="31" w:afterLines="10"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3.</w:t>
            </w:r>
            <w:r>
              <w:rPr>
                <w:rFonts w:hint="eastAsia" w:ascii="宋体" w:hAnsi="宋体"/>
                <w:spacing w:val="4"/>
                <w:kern w:val="0"/>
                <w:szCs w:val="21"/>
                <w:highlight w:val="none"/>
              </w:rPr>
              <w:t>若上述程序未能评出三名中标候选人</w:t>
            </w:r>
            <w:r>
              <w:rPr>
                <w:rFonts w:hint="eastAsia" w:ascii="宋体" w:hAnsi="宋体"/>
                <w:kern w:val="0"/>
                <w:szCs w:val="21"/>
                <w:highlight w:val="none"/>
              </w:rPr>
              <w:t>，则评标委员会对剩余投标文件继续按上述第2条进行评审，直至评出三名中标候选人，或者评审完所有投标文件。</w:t>
            </w:r>
          </w:p>
          <w:p w14:paraId="08C0564F">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kern w:val="0"/>
                <w:szCs w:val="21"/>
                <w:highlight w:val="none"/>
                <w:lang w:eastAsia="zh-CN"/>
              </w:rPr>
              <w:t>比选文件</w:t>
            </w:r>
            <w:r>
              <w:rPr>
                <w:rFonts w:hint="eastAsia" w:ascii="宋体" w:hAnsi="宋体"/>
                <w:kern w:val="0"/>
                <w:szCs w:val="21"/>
                <w:highlight w:val="none"/>
              </w:rPr>
              <w:t>要求的，评标委员会可以继续评标并确定中标候选人。</w:t>
            </w:r>
          </w:p>
          <w:p w14:paraId="0CEF53E0">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注：若出现投标人投标报价相同的，</w:t>
            </w:r>
            <w:r>
              <w:rPr>
                <w:rFonts w:hint="eastAsia" w:ascii="宋体" w:hAnsi="宋体" w:eastAsia="宋体" w:cs="Times New Roman"/>
                <w:spacing w:val="4"/>
                <w:kern w:val="0"/>
                <w:szCs w:val="21"/>
              </w:rPr>
              <w:t>由评标委员会</w:t>
            </w:r>
            <w:r>
              <w:rPr>
                <w:rFonts w:hint="eastAsia" w:ascii="宋体" w:hAnsi="宋体" w:eastAsia="宋体" w:cs="Times New Roman"/>
                <w:spacing w:val="4"/>
                <w:kern w:val="0"/>
                <w:szCs w:val="21"/>
                <w:u w:val="single"/>
              </w:rPr>
              <w:t xml:space="preserve"> </w:t>
            </w:r>
            <w:r>
              <w:rPr>
                <w:rFonts w:hint="eastAsia" w:ascii="宋体" w:hAnsi="宋体" w:eastAsia="宋体" w:cs="Times New Roman"/>
                <w:color w:val="auto"/>
                <w:spacing w:val="4"/>
                <w:kern w:val="0"/>
                <w:szCs w:val="21"/>
                <w:highlight w:val="none"/>
                <w:u w:val="single"/>
              </w:rPr>
              <w:t>全体成员投票</w:t>
            </w:r>
            <w:r>
              <w:rPr>
                <w:rFonts w:hint="eastAsia" w:ascii="宋体" w:hAnsi="宋体" w:eastAsia="宋体" w:cs="Times New Roman"/>
                <w:color w:val="auto"/>
                <w:spacing w:val="4"/>
                <w:kern w:val="0"/>
                <w:szCs w:val="21"/>
                <w:highlight w:val="none"/>
                <w:u w:val="single"/>
                <w:lang w:eastAsia="zh-CN"/>
              </w:rPr>
              <w:t>，</w:t>
            </w:r>
            <w:r>
              <w:rPr>
                <w:rFonts w:hint="eastAsia" w:ascii="宋体" w:hAnsi="宋体" w:eastAsia="宋体" w:cs="Times New Roman"/>
                <w:color w:val="auto"/>
                <w:spacing w:val="4"/>
                <w:kern w:val="0"/>
                <w:szCs w:val="21"/>
                <w:highlight w:val="none"/>
                <w:u w:val="single"/>
              </w:rPr>
              <w:t>并按简单多数</w:t>
            </w:r>
            <w:r>
              <w:rPr>
                <w:rFonts w:hint="eastAsia" w:ascii="宋体" w:hAnsi="宋体" w:eastAsia="宋体" w:cs="Times New Roman"/>
                <w:spacing w:val="4"/>
                <w:kern w:val="0"/>
                <w:szCs w:val="21"/>
                <w:u w:val="single"/>
              </w:rPr>
              <w:t xml:space="preserve"> </w:t>
            </w:r>
            <w:r>
              <w:rPr>
                <w:rFonts w:hint="eastAsia" w:ascii="宋体" w:hAnsi="宋体" w:eastAsia="宋体" w:cs="Times New Roman"/>
                <w:spacing w:val="4"/>
                <w:kern w:val="0"/>
                <w:szCs w:val="21"/>
              </w:rPr>
              <w:t>原则排序</w:t>
            </w:r>
            <w:r>
              <w:rPr>
                <w:rFonts w:hint="eastAsia" w:ascii="宋体" w:hAnsi="宋体"/>
                <w:spacing w:val="4"/>
                <w:kern w:val="0"/>
                <w:szCs w:val="21"/>
                <w:highlight w:val="none"/>
              </w:rPr>
              <w:t>。</w:t>
            </w:r>
          </w:p>
        </w:tc>
      </w:tr>
      <w:tr w14:paraId="7DFA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A7EA85B">
            <w:pPr>
              <w:spacing w:line="400" w:lineRule="exact"/>
              <w:jc w:val="center"/>
              <w:rPr>
                <w:rFonts w:ascii="宋体" w:hAnsi="宋体"/>
                <w:highlight w:val="none"/>
              </w:rPr>
            </w:pPr>
            <w:r>
              <w:rPr>
                <w:rFonts w:hint="eastAsia" w:ascii="宋体" w:hAnsi="宋体"/>
                <w:highlight w:val="none"/>
              </w:rPr>
              <w:t>3.4</w:t>
            </w:r>
          </w:p>
        </w:tc>
        <w:tc>
          <w:tcPr>
            <w:tcW w:w="1560" w:type="dxa"/>
            <w:tcBorders>
              <w:left w:val="single" w:color="auto" w:sz="4" w:space="0"/>
              <w:right w:val="single" w:color="auto" w:sz="4" w:space="0"/>
            </w:tcBorders>
            <w:vAlign w:val="center"/>
          </w:tcPr>
          <w:p w14:paraId="7AA1C361">
            <w:pPr>
              <w:spacing w:line="400" w:lineRule="exact"/>
              <w:jc w:val="center"/>
              <w:rPr>
                <w:rFonts w:ascii="宋体" w:hAnsi="宋体"/>
                <w:highlight w:val="none"/>
              </w:rPr>
            </w:pPr>
            <w:r>
              <w:rPr>
                <w:rFonts w:ascii="宋体" w:hAnsi="宋体"/>
                <w:highlight w:val="none"/>
              </w:rPr>
              <w:t>评标结果</w:t>
            </w:r>
          </w:p>
        </w:tc>
        <w:tc>
          <w:tcPr>
            <w:tcW w:w="6882" w:type="dxa"/>
            <w:gridSpan w:val="2"/>
            <w:tcBorders>
              <w:left w:val="single" w:color="auto" w:sz="4" w:space="0"/>
            </w:tcBorders>
            <w:vAlign w:val="center"/>
          </w:tcPr>
          <w:p w14:paraId="732848F4">
            <w:pPr>
              <w:autoSpaceDE w:val="0"/>
              <w:autoSpaceDN w:val="0"/>
              <w:adjustRightInd w:val="0"/>
              <w:snapToGrid w:val="0"/>
              <w:spacing w:line="400" w:lineRule="exact"/>
              <w:ind w:firstLine="420"/>
              <w:jc w:val="left"/>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除第二章“投标</w:t>
            </w:r>
            <w:r>
              <w:rPr>
                <w:rFonts w:ascii="宋体" w:hAnsi="宋体"/>
                <w:spacing w:val="1"/>
                <w:kern w:val="0"/>
                <w:szCs w:val="21"/>
                <w:highlight w:val="none"/>
              </w:rPr>
              <w:t>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w:t>
            </w:r>
            <w:r>
              <w:rPr>
                <w:rFonts w:hint="eastAsia" w:ascii="宋体" w:hAnsi="宋体"/>
                <w:kern w:val="0"/>
                <w:szCs w:val="21"/>
                <w:highlight w:val="none"/>
              </w:rPr>
              <w:t>按经评审的最低投标价法</w:t>
            </w:r>
            <w:r>
              <w:rPr>
                <w:rFonts w:ascii="宋体" w:hAnsi="宋体"/>
                <w:kern w:val="0"/>
                <w:szCs w:val="21"/>
                <w:highlight w:val="none"/>
              </w:rPr>
              <w:t>推荐中标候选人。</w:t>
            </w:r>
          </w:p>
          <w:p w14:paraId="3220A25D">
            <w:pPr>
              <w:spacing w:line="400" w:lineRule="exact"/>
              <w:ind w:firstLine="424" w:firstLineChars="200"/>
              <w:rPr>
                <w:rFonts w:ascii="宋体" w:hAnsi="宋体"/>
                <w:highlight w:val="none"/>
              </w:rPr>
            </w:pPr>
            <w:r>
              <w:rPr>
                <w:rFonts w:ascii="宋体" w:hAnsi="宋体"/>
                <w:spacing w:val="1"/>
                <w:kern w:val="0"/>
                <w:szCs w:val="21"/>
                <w:highlight w:val="none"/>
              </w:rPr>
              <w:t>3</w:t>
            </w:r>
            <w:r>
              <w:rPr>
                <w:rFonts w:ascii="宋体" w:hAnsi="宋体"/>
                <w:kern w:val="0"/>
                <w:szCs w:val="21"/>
                <w:highlight w:val="none"/>
              </w:rPr>
              <w:t>.4.2</w:t>
            </w:r>
            <w:r>
              <w:rPr>
                <w:rFonts w:hint="eastAsia" w:ascii="宋体" w:hAnsi="宋体"/>
                <w:kern w:val="0"/>
                <w:szCs w:val="21"/>
                <w:highlight w:val="none"/>
              </w:rPr>
              <w:t xml:space="preserve"> </w:t>
            </w:r>
            <w:r>
              <w:rPr>
                <w:rFonts w:ascii="宋体" w:hAnsi="宋体"/>
                <w:kern w:val="0"/>
                <w:szCs w:val="21"/>
                <w:highlight w:val="none"/>
              </w:rPr>
              <w:t>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lang w:eastAsia="zh-CN"/>
              </w:rPr>
              <w:t>比选人</w:t>
            </w:r>
            <w:r>
              <w:rPr>
                <w:rFonts w:ascii="宋体" w:hAnsi="宋体"/>
                <w:kern w:val="0"/>
                <w:szCs w:val="21"/>
                <w:highlight w:val="none"/>
              </w:rPr>
              <w:t>提交书面评标报告。</w:t>
            </w:r>
          </w:p>
        </w:tc>
      </w:tr>
    </w:tbl>
    <w:p w14:paraId="14FACC50">
      <w:pPr>
        <w:pStyle w:val="5"/>
        <w:spacing w:before="0" w:after="0" w:line="360" w:lineRule="auto"/>
        <w:rPr>
          <w:rFonts w:ascii="宋体" w:hAnsi="宋体"/>
          <w:bCs w:val="0"/>
          <w:snapToGrid w:val="0"/>
          <w:highlight w:val="none"/>
        </w:rPr>
      </w:pPr>
      <w:r>
        <w:rPr>
          <w:rFonts w:ascii="宋体" w:hAnsi="宋体"/>
          <w:bCs w:val="0"/>
          <w:snapToGrid w:val="0"/>
          <w:highlight w:val="none"/>
        </w:rPr>
        <w:br w:type="page"/>
      </w:r>
      <w:bookmarkStart w:id="456" w:name="_Toc27983289"/>
      <w:r>
        <w:rPr>
          <w:rFonts w:ascii="宋体" w:hAnsi="宋体"/>
          <w:b w:val="0"/>
          <w:snapToGrid w:val="0"/>
          <w:highlight w:val="none"/>
        </w:rPr>
        <w:t>1.  评标方法</w:t>
      </w:r>
      <w:bookmarkEnd w:id="456"/>
    </w:p>
    <w:p w14:paraId="35CFDFC6">
      <w:pPr>
        <w:spacing w:line="360" w:lineRule="auto"/>
        <w:ind w:firstLine="420" w:firstLineChars="200"/>
        <w:rPr>
          <w:rFonts w:ascii="宋体" w:hAnsi="宋体"/>
          <w:highlight w:val="none"/>
        </w:rPr>
      </w:pPr>
      <w:r>
        <w:rPr>
          <w:rFonts w:hint="eastAsia" w:ascii="宋体" w:hAnsi="宋体"/>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highlight w:val="none"/>
          <w:lang w:eastAsia="zh-CN"/>
        </w:rPr>
        <w:t>比选人</w:t>
      </w:r>
      <w:r>
        <w:rPr>
          <w:rFonts w:hint="eastAsia" w:ascii="宋体" w:hAnsi="宋体"/>
          <w:highlight w:val="none"/>
        </w:rPr>
        <w:t>授权直接确定中标人。若出现投标人投标报价相同的，以评标办法前附表约定的原则确定排序。</w:t>
      </w:r>
    </w:p>
    <w:p w14:paraId="01DF55AF">
      <w:pPr>
        <w:pStyle w:val="5"/>
        <w:spacing w:before="0" w:after="0" w:line="360" w:lineRule="auto"/>
        <w:rPr>
          <w:rFonts w:ascii="宋体" w:hAnsi="宋体"/>
          <w:b w:val="0"/>
          <w:snapToGrid w:val="0"/>
          <w:highlight w:val="none"/>
        </w:rPr>
      </w:pPr>
      <w:bookmarkStart w:id="457" w:name="_Toc27983290"/>
      <w:r>
        <w:rPr>
          <w:rFonts w:ascii="宋体" w:hAnsi="宋体"/>
          <w:b w:val="0"/>
          <w:snapToGrid w:val="0"/>
          <w:highlight w:val="none"/>
        </w:rPr>
        <w:t>2.  评审标准</w:t>
      </w:r>
      <w:bookmarkEnd w:id="457"/>
    </w:p>
    <w:p w14:paraId="2C84B0FA">
      <w:pPr>
        <w:pStyle w:val="6"/>
        <w:spacing w:before="0" w:after="0" w:line="360" w:lineRule="auto"/>
        <w:jc w:val="both"/>
        <w:rPr>
          <w:rFonts w:ascii="宋体" w:hAnsi="宋体" w:cs="宋体"/>
          <w:sz w:val="21"/>
          <w:szCs w:val="21"/>
          <w:highlight w:val="none"/>
        </w:rPr>
      </w:pPr>
      <w:bookmarkStart w:id="458" w:name="_Toc27983291"/>
      <w:r>
        <w:rPr>
          <w:rFonts w:ascii="宋体" w:hAnsi="宋体" w:cs="宋体"/>
          <w:sz w:val="21"/>
          <w:szCs w:val="21"/>
          <w:highlight w:val="none"/>
        </w:rPr>
        <w:t>2.1</w:t>
      </w:r>
      <w:r>
        <w:rPr>
          <w:rFonts w:hint="eastAsia" w:ascii="宋体" w:hAnsi="宋体" w:cs="宋体"/>
          <w:sz w:val="21"/>
          <w:szCs w:val="21"/>
          <w:highlight w:val="none"/>
        </w:rPr>
        <w:t>报价</w:t>
      </w:r>
      <w:r>
        <w:rPr>
          <w:rFonts w:ascii="宋体" w:hAnsi="宋体" w:cs="宋体"/>
          <w:sz w:val="21"/>
          <w:szCs w:val="21"/>
          <w:highlight w:val="none"/>
        </w:rPr>
        <w:t>排序</w:t>
      </w:r>
      <w:bookmarkEnd w:id="458"/>
    </w:p>
    <w:p w14:paraId="6E2BF120">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见评标办法前附表。</w:t>
      </w:r>
    </w:p>
    <w:p w14:paraId="04F4BD4C">
      <w:pPr>
        <w:pStyle w:val="6"/>
        <w:spacing w:before="0" w:after="0" w:line="360" w:lineRule="auto"/>
        <w:jc w:val="both"/>
        <w:rPr>
          <w:rFonts w:ascii="宋体" w:hAnsi="宋体" w:cs="宋体"/>
          <w:sz w:val="21"/>
          <w:szCs w:val="21"/>
          <w:highlight w:val="none"/>
        </w:rPr>
      </w:pPr>
      <w:bookmarkStart w:id="459" w:name="_Toc27983292"/>
      <w:r>
        <w:rPr>
          <w:rFonts w:ascii="宋体" w:hAnsi="宋体" w:cs="宋体"/>
          <w:sz w:val="21"/>
          <w:szCs w:val="21"/>
          <w:highlight w:val="none"/>
        </w:rPr>
        <w:t>2.</w:t>
      </w:r>
      <w:r>
        <w:rPr>
          <w:rFonts w:hint="eastAsia" w:ascii="宋体" w:hAnsi="宋体" w:cs="宋体"/>
          <w:sz w:val="21"/>
          <w:szCs w:val="21"/>
          <w:highlight w:val="none"/>
        </w:rPr>
        <w:t>2符合性审查</w:t>
      </w:r>
      <w:bookmarkEnd w:id="459"/>
    </w:p>
    <w:p w14:paraId="4620171F">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取报价排序前</w:t>
      </w:r>
      <w:r>
        <w:rPr>
          <w:rFonts w:hint="eastAsia" w:ascii="宋体" w:hAnsi="宋体" w:cs="宋体"/>
          <w:szCs w:val="21"/>
          <w:highlight w:val="none"/>
          <w:lang w:val="en-US" w:eastAsia="zh-CN"/>
        </w:rPr>
        <w:t>5</w:t>
      </w:r>
      <w:r>
        <w:rPr>
          <w:rFonts w:hint="eastAsia" w:ascii="宋体" w:hAnsi="宋体" w:cs="宋体"/>
          <w:szCs w:val="21"/>
          <w:highlight w:val="none"/>
        </w:rPr>
        <w:t>名（若实际投标人数量小于勾选数量，</w:t>
      </w:r>
      <w:r>
        <w:rPr>
          <w:rFonts w:hint="eastAsia" w:ascii="宋体" w:hAnsi="宋体"/>
          <w:spacing w:val="4"/>
          <w:kern w:val="0"/>
          <w:szCs w:val="21"/>
          <w:highlight w:val="none"/>
        </w:rPr>
        <w:t>则全部纳入）进行符合性审查。符合性审查内容：资格评审、形式评审、响应性评审。</w:t>
      </w:r>
    </w:p>
    <w:p w14:paraId="44A64966">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 xml:space="preserve">  资格评审标准：见评标办法前附表。</w:t>
      </w:r>
    </w:p>
    <w:p w14:paraId="497EE2F4">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 xml:space="preserve">  形式评审标准：见评标办法前附表。</w:t>
      </w:r>
    </w:p>
    <w:p w14:paraId="52CB9984">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响应性评审标准：见评标办法前附表。</w:t>
      </w:r>
    </w:p>
    <w:p w14:paraId="07BF3721">
      <w:pPr>
        <w:pStyle w:val="5"/>
        <w:spacing w:before="0" w:after="0" w:line="360" w:lineRule="auto"/>
        <w:rPr>
          <w:rFonts w:ascii="宋体" w:hAnsi="宋体"/>
          <w:b w:val="0"/>
          <w:snapToGrid w:val="0"/>
          <w:highlight w:val="none"/>
        </w:rPr>
      </w:pPr>
      <w:bookmarkStart w:id="460" w:name="_Toc27983293"/>
      <w:r>
        <w:rPr>
          <w:rFonts w:ascii="宋体" w:hAnsi="宋体"/>
          <w:b w:val="0"/>
          <w:snapToGrid w:val="0"/>
          <w:highlight w:val="none"/>
        </w:rPr>
        <w:t>3.  评标程序</w:t>
      </w:r>
      <w:bookmarkEnd w:id="460"/>
    </w:p>
    <w:p w14:paraId="1D5D803B">
      <w:pPr>
        <w:pStyle w:val="6"/>
        <w:spacing w:before="0" w:after="0" w:line="360" w:lineRule="auto"/>
        <w:jc w:val="both"/>
        <w:rPr>
          <w:rFonts w:ascii="宋体" w:hAnsi="宋体" w:cs="宋体"/>
          <w:sz w:val="21"/>
          <w:szCs w:val="21"/>
          <w:highlight w:val="none"/>
        </w:rPr>
      </w:pPr>
      <w:bookmarkStart w:id="461" w:name="_Toc27983294"/>
      <w:r>
        <w:rPr>
          <w:rFonts w:ascii="宋体" w:hAnsi="宋体" w:cs="宋体"/>
          <w:sz w:val="21"/>
          <w:szCs w:val="21"/>
          <w:highlight w:val="none"/>
        </w:rPr>
        <w:t>3.1</w:t>
      </w:r>
      <w:r>
        <w:rPr>
          <w:rFonts w:hint="eastAsia" w:ascii="宋体" w:hAnsi="宋体" w:cs="宋体"/>
          <w:sz w:val="21"/>
          <w:szCs w:val="21"/>
          <w:highlight w:val="none"/>
        </w:rPr>
        <w:t>报价排序</w:t>
      </w:r>
      <w:bookmarkEnd w:id="461"/>
    </w:p>
    <w:p w14:paraId="37E30B24">
      <w:pPr>
        <w:spacing w:line="360" w:lineRule="auto"/>
        <w:ind w:firstLine="413" w:firstLineChars="197"/>
        <w:rPr>
          <w:rFonts w:ascii="宋体" w:hAnsi="宋体" w:cs="宋体"/>
          <w:szCs w:val="21"/>
          <w:highlight w:val="none"/>
        </w:rPr>
      </w:pPr>
      <w:r>
        <w:rPr>
          <w:rFonts w:hint="eastAsia" w:ascii="宋体" w:hAnsi="宋体" w:cs="宋体"/>
          <w:szCs w:val="21"/>
          <w:highlight w:val="none"/>
        </w:rPr>
        <w:t>对报价不高于最高限价的所有投标人的投标文件，按照报价由低到高的顺序排序。</w:t>
      </w:r>
    </w:p>
    <w:p w14:paraId="60D8E5E6">
      <w:pPr>
        <w:spacing w:line="360" w:lineRule="auto"/>
        <w:ind w:firstLine="413" w:firstLineChars="197"/>
        <w:rPr>
          <w:rFonts w:ascii="宋体" w:hAnsi="宋体" w:cs="宋体"/>
          <w:szCs w:val="21"/>
          <w:highlight w:val="none"/>
        </w:rPr>
      </w:pPr>
      <w:r>
        <w:rPr>
          <w:rFonts w:hint="eastAsia" w:ascii="宋体" w:hAnsi="宋体" w:cs="宋体"/>
          <w:szCs w:val="21"/>
          <w:highlight w:val="none"/>
        </w:rPr>
        <w:t>当投标报价有算术错误时，评标委员会按以下原则对投标报价进行修正，修正的价格经投标人书面确认后具有约束力，修正原则如下：</w:t>
      </w:r>
    </w:p>
    <w:p w14:paraId="56D03AD9">
      <w:pPr>
        <w:spacing w:line="360" w:lineRule="auto"/>
        <w:ind w:firstLine="413" w:firstLineChars="197"/>
        <w:rPr>
          <w:rFonts w:ascii="宋体" w:hAnsi="宋体" w:cs="宋体"/>
          <w:szCs w:val="21"/>
          <w:highlight w:val="none"/>
        </w:rPr>
      </w:pPr>
      <w:r>
        <w:rPr>
          <w:rFonts w:hint="eastAsia" w:ascii="宋体" w:hAnsi="宋体" w:cs="宋体"/>
          <w:szCs w:val="21"/>
          <w:highlight w:val="none"/>
        </w:rPr>
        <w:t>①投标文件中的大写金额与小写金额不一致的，以大写金额为准；</w:t>
      </w:r>
    </w:p>
    <w:p w14:paraId="303BB3BE">
      <w:pPr>
        <w:spacing w:line="360" w:lineRule="auto"/>
        <w:ind w:firstLine="413" w:firstLineChars="197"/>
        <w:rPr>
          <w:rFonts w:ascii="宋体" w:hAnsi="宋体" w:cs="宋体"/>
          <w:szCs w:val="21"/>
          <w:highlight w:val="none"/>
        </w:rPr>
      </w:pPr>
      <w:r>
        <w:rPr>
          <w:rFonts w:hint="eastAsia" w:ascii="宋体" w:hAnsi="宋体" w:cs="宋体"/>
          <w:szCs w:val="21"/>
          <w:highlight w:val="none"/>
        </w:rPr>
        <w:t>②总价金额与依据单价计算出的结果不一致的，以单价金额为准修正总价（但单价金额小数点有明显错误的除外）；单价金额小数点有明显错误的，以总价为准，对单价予以修正；</w:t>
      </w:r>
    </w:p>
    <w:p w14:paraId="0413F56E">
      <w:pPr>
        <w:spacing w:line="360" w:lineRule="auto"/>
        <w:ind w:firstLine="413" w:firstLineChars="197"/>
        <w:rPr>
          <w:rFonts w:ascii="宋体" w:hAnsi="宋体" w:cs="宋体"/>
          <w:szCs w:val="21"/>
          <w:highlight w:val="none"/>
        </w:rPr>
      </w:pPr>
      <w:r>
        <w:rPr>
          <w:rFonts w:hint="eastAsia" w:ascii="宋体" w:hAnsi="宋体" w:cs="宋体"/>
          <w:szCs w:val="21"/>
          <w:highlight w:val="none"/>
        </w:rPr>
        <w:t>③</w:t>
      </w:r>
      <w:r>
        <w:rPr>
          <w:rFonts w:hint="eastAsia" w:ascii="宋体" w:hAnsi="宋体" w:cs="宋体"/>
          <w:szCs w:val="21"/>
          <w:highlight w:val="none"/>
          <w:lang w:eastAsia="zh-CN"/>
        </w:rPr>
        <w:t>比选文件</w:t>
      </w:r>
      <w:r>
        <w:rPr>
          <w:rFonts w:hint="eastAsia" w:ascii="宋体" w:hAnsi="宋体" w:cs="宋体"/>
          <w:szCs w:val="21"/>
          <w:highlight w:val="none"/>
        </w:rPr>
        <w:t>规定的其他关于修正的要求。</w:t>
      </w:r>
    </w:p>
    <w:p w14:paraId="2F7942B1">
      <w:pPr>
        <w:pStyle w:val="6"/>
        <w:spacing w:before="0" w:after="0" w:line="360" w:lineRule="auto"/>
        <w:jc w:val="both"/>
        <w:rPr>
          <w:rFonts w:ascii="宋体" w:hAnsi="宋体" w:cs="宋体"/>
          <w:sz w:val="21"/>
          <w:szCs w:val="21"/>
          <w:highlight w:val="none"/>
        </w:rPr>
      </w:pPr>
      <w:bookmarkStart w:id="462" w:name="_Toc27983295"/>
      <w:r>
        <w:rPr>
          <w:rFonts w:ascii="宋体" w:hAnsi="宋体" w:cs="宋体"/>
          <w:sz w:val="21"/>
          <w:szCs w:val="21"/>
          <w:highlight w:val="none"/>
        </w:rPr>
        <w:t>3.</w:t>
      </w:r>
      <w:r>
        <w:rPr>
          <w:rFonts w:hint="eastAsia" w:ascii="宋体" w:hAnsi="宋体" w:cs="宋体"/>
          <w:sz w:val="21"/>
          <w:szCs w:val="21"/>
          <w:highlight w:val="none"/>
        </w:rPr>
        <w:t>2符合性审查</w:t>
      </w:r>
      <w:bookmarkEnd w:id="462"/>
    </w:p>
    <w:p w14:paraId="701B0AE6">
      <w:pPr>
        <w:spacing w:line="360" w:lineRule="auto"/>
        <w:ind w:firstLine="413" w:firstLineChars="197"/>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.1评标委员会依据本章第2.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款规定的标准对投标文件进行符合性审查。符合性审查顺序：资格评审、形式评审、响应性评审。</w:t>
      </w:r>
    </w:p>
    <w:p w14:paraId="4D2B01E8">
      <w:pPr>
        <w:spacing w:line="360" w:lineRule="auto"/>
        <w:ind w:firstLine="413" w:firstLineChars="197"/>
        <w:rPr>
          <w:rFonts w:ascii="宋体" w:hAnsi="宋体" w:cs="宋体"/>
          <w:szCs w:val="21"/>
          <w:highlight w:val="none"/>
        </w:rPr>
      </w:pPr>
      <w:r>
        <w:rPr>
          <w:rFonts w:hint="eastAsia" w:ascii="宋体" w:hAnsi="宋体" w:cs="宋体"/>
          <w:szCs w:val="21"/>
          <w:highlight w:val="none"/>
        </w:rPr>
        <w:t>勾选技术方案评审的，符合性审查应首先进行技术方案暗标审查，再按照资格、形式、响应性的顺序进行评审。有一项不符合评审标准的，作否决投标处理。</w:t>
      </w:r>
    </w:p>
    <w:p w14:paraId="16D6272A">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.2 投标人有以下情形之一的，</w:t>
      </w:r>
      <w:r>
        <w:rPr>
          <w:rFonts w:hint="eastAsia" w:ascii="宋体" w:hAnsi="宋体" w:cs="宋体"/>
          <w:szCs w:val="21"/>
          <w:highlight w:val="none"/>
        </w:rPr>
        <w:t>其投标文件将被否决：</w:t>
      </w:r>
    </w:p>
    <w:p w14:paraId="3B7D81D9">
      <w:pPr>
        <w:spacing w:line="360" w:lineRule="auto"/>
        <w:ind w:firstLine="405" w:firstLineChars="193"/>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）第二章“投标人须知”第1.4.3 </w:t>
      </w:r>
      <w:r>
        <w:rPr>
          <w:rFonts w:hint="eastAsia" w:ascii="宋体" w:hAnsi="宋体" w:cs="宋体"/>
          <w:szCs w:val="21"/>
          <w:highlight w:val="none"/>
        </w:rPr>
        <w:t>项</w:t>
      </w:r>
      <w:r>
        <w:rPr>
          <w:rFonts w:ascii="宋体" w:hAnsi="宋体" w:cs="宋体"/>
          <w:szCs w:val="21"/>
          <w:highlight w:val="none"/>
        </w:rPr>
        <w:t>规定的任何一种情形的；</w:t>
      </w:r>
    </w:p>
    <w:p w14:paraId="691FD951">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）串通投标或弄虚作假或有其他违法行为的</w:t>
      </w:r>
      <w:r>
        <w:rPr>
          <w:rFonts w:hint="eastAsia" w:ascii="宋体" w:hAnsi="宋体" w:cs="宋体"/>
          <w:szCs w:val="21"/>
          <w:highlight w:val="none"/>
        </w:rPr>
        <w:t>。</w:t>
      </w:r>
    </w:p>
    <w:p w14:paraId="49C58B0B">
      <w:pPr>
        <w:pStyle w:val="6"/>
        <w:spacing w:before="0" w:after="0" w:line="360" w:lineRule="auto"/>
        <w:jc w:val="both"/>
        <w:rPr>
          <w:rFonts w:ascii="宋体" w:hAnsi="宋体" w:cs="宋体"/>
          <w:sz w:val="21"/>
          <w:szCs w:val="21"/>
          <w:highlight w:val="none"/>
        </w:rPr>
      </w:pPr>
      <w:bookmarkStart w:id="463" w:name="_Toc27983296"/>
      <w:r>
        <w:rPr>
          <w:rFonts w:ascii="宋体" w:hAnsi="宋体" w:cs="宋体"/>
          <w:sz w:val="21"/>
          <w:szCs w:val="21"/>
          <w:highlight w:val="none"/>
        </w:rPr>
        <w:t>3.</w:t>
      </w:r>
      <w:r>
        <w:rPr>
          <w:rFonts w:hint="eastAsia" w:ascii="宋体" w:hAnsi="宋体" w:cs="宋体"/>
          <w:sz w:val="21"/>
          <w:szCs w:val="21"/>
          <w:highlight w:val="none"/>
        </w:rPr>
        <w:t>3</w:t>
      </w:r>
      <w:r>
        <w:rPr>
          <w:rFonts w:ascii="宋体" w:hAnsi="宋体" w:cs="宋体"/>
          <w:sz w:val="21"/>
          <w:szCs w:val="21"/>
          <w:highlight w:val="none"/>
        </w:rPr>
        <w:t xml:space="preserve"> </w:t>
      </w:r>
      <w:r>
        <w:rPr>
          <w:rFonts w:hint="eastAsia" w:ascii="宋体" w:hAnsi="宋体" w:cs="宋体"/>
          <w:sz w:val="21"/>
          <w:szCs w:val="21"/>
          <w:highlight w:val="none"/>
        </w:rPr>
        <w:t>投标文件的澄清和补正</w:t>
      </w:r>
      <w:bookmarkEnd w:id="463"/>
    </w:p>
    <w:p w14:paraId="469D3873">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.1 </w:t>
      </w:r>
      <w:r>
        <w:rPr>
          <w:rFonts w:hint="eastAsia" w:ascii="宋体" w:hAnsi="宋体" w:cs="宋体"/>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1B876A1E">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.2 </w:t>
      </w:r>
      <w:r>
        <w:rPr>
          <w:rFonts w:hint="eastAsia" w:ascii="宋体" w:hAnsi="宋体" w:cs="宋体"/>
          <w:szCs w:val="21"/>
          <w:highlight w:val="none"/>
        </w:rPr>
        <w:t>澄清、说明和补正不得改变投标文件的实质性内容（算术性错误修正的除外）。投标人的书面澄清、说明和补正属于投标文件的组成部分。</w:t>
      </w:r>
    </w:p>
    <w:p w14:paraId="4AC38C05">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.3 </w:t>
      </w:r>
      <w:r>
        <w:rPr>
          <w:rFonts w:hint="eastAsia" w:ascii="宋体" w:hAnsi="宋体" w:cs="宋体"/>
          <w:szCs w:val="21"/>
          <w:highlight w:val="none"/>
        </w:rPr>
        <w:t>评标委员会对投标人提交的澄清、说明或补正有疑问的，可以要求投标人进一步澄清、说明或补正，直至满足评标委员会的要求。</w:t>
      </w:r>
    </w:p>
    <w:p w14:paraId="4C1E667A">
      <w:pPr>
        <w:pStyle w:val="6"/>
        <w:spacing w:before="0" w:after="0" w:line="360" w:lineRule="auto"/>
        <w:jc w:val="both"/>
        <w:rPr>
          <w:rFonts w:ascii="宋体" w:hAnsi="宋体" w:cs="宋体"/>
          <w:sz w:val="21"/>
          <w:szCs w:val="21"/>
          <w:highlight w:val="none"/>
        </w:rPr>
      </w:pPr>
      <w:bookmarkStart w:id="464" w:name="_Toc27983297"/>
      <w:bookmarkStart w:id="465" w:name="_Toc479262406"/>
      <w:bookmarkStart w:id="466" w:name="_Toc484465184"/>
      <w:r>
        <w:rPr>
          <w:rFonts w:ascii="宋体" w:hAnsi="宋体" w:cs="宋体"/>
          <w:sz w:val="21"/>
          <w:szCs w:val="21"/>
          <w:highlight w:val="none"/>
        </w:rPr>
        <w:t>3.</w:t>
      </w:r>
      <w:r>
        <w:rPr>
          <w:rFonts w:hint="eastAsia" w:ascii="宋体" w:hAnsi="宋体" w:cs="宋体"/>
          <w:sz w:val="21"/>
          <w:szCs w:val="21"/>
          <w:highlight w:val="none"/>
        </w:rPr>
        <w:t>4</w:t>
      </w:r>
      <w:r>
        <w:rPr>
          <w:rFonts w:ascii="宋体" w:hAnsi="宋体" w:cs="宋体"/>
          <w:sz w:val="21"/>
          <w:szCs w:val="21"/>
          <w:highlight w:val="none"/>
        </w:rPr>
        <w:t xml:space="preserve"> </w:t>
      </w:r>
      <w:r>
        <w:rPr>
          <w:rFonts w:hint="eastAsia" w:ascii="宋体" w:hAnsi="宋体" w:cs="宋体"/>
          <w:sz w:val="21"/>
          <w:szCs w:val="21"/>
          <w:highlight w:val="none"/>
        </w:rPr>
        <w:t>评标结果</w:t>
      </w:r>
      <w:bookmarkEnd w:id="464"/>
      <w:bookmarkEnd w:id="465"/>
      <w:bookmarkEnd w:id="466"/>
    </w:p>
    <w:p w14:paraId="34DBAC57">
      <w:pPr>
        <w:autoSpaceDE w:val="0"/>
        <w:autoSpaceDN w:val="0"/>
        <w:adjustRightInd w:val="0"/>
        <w:spacing w:line="360" w:lineRule="auto"/>
        <w:ind w:firstLine="420" w:firstLineChars="200"/>
        <w:jc w:val="left"/>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除第二章“投标人须知”前附表授权直接确定中标人外，评标委员会按经评审的最低投标价法推荐中标候选人。</w:t>
      </w:r>
    </w:p>
    <w:p w14:paraId="72151258">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评标委员会完成评标后，应当向</w:t>
      </w:r>
      <w:r>
        <w:rPr>
          <w:rFonts w:hint="eastAsia" w:ascii="宋体" w:hAnsi="宋体" w:cs="宋体"/>
          <w:szCs w:val="21"/>
          <w:highlight w:val="none"/>
          <w:lang w:eastAsia="zh-CN"/>
        </w:rPr>
        <w:t>比选人</w:t>
      </w:r>
      <w:r>
        <w:rPr>
          <w:rFonts w:hint="eastAsia" w:ascii="宋体" w:hAnsi="宋体" w:cs="宋体"/>
          <w:szCs w:val="21"/>
          <w:highlight w:val="none"/>
        </w:rPr>
        <w:t>提交书面评标报告和中标候选人名单。</w:t>
      </w:r>
    </w:p>
    <w:p w14:paraId="08E77629">
      <w:pPr>
        <w:pStyle w:val="38"/>
        <w:spacing w:line="360" w:lineRule="auto"/>
        <w:rPr>
          <w:rFonts w:ascii="宋体" w:hAnsi="宋体"/>
          <w:b/>
          <w:sz w:val="28"/>
          <w:szCs w:val="28"/>
          <w:highlight w:val="none"/>
          <w:u w:val="none"/>
          <w:lang w:eastAsia="zh-CN"/>
        </w:rPr>
      </w:pPr>
      <w:r>
        <w:rPr>
          <w:rFonts w:ascii="宋体" w:hAnsi="宋体" w:cs="宋体"/>
          <w:szCs w:val="21"/>
          <w:highlight w:val="none"/>
          <w:lang w:eastAsia="zh-CN"/>
        </w:rPr>
        <w:br w:type="page"/>
      </w:r>
      <w:r>
        <w:rPr>
          <w:rFonts w:ascii="宋体" w:hAnsi="宋体"/>
          <w:b/>
          <w:sz w:val="28"/>
          <w:szCs w:val="28"/>
          <w:highlight w:val="none"/>
          <w:u w:val="none"/>
          <w:lang w:eastAsia="zh-CN"/>
        </w:rPr>
        <w:t>附件A：</w:t>
      </w:r>
      <w:r>
        <w:rPr>
          <w:rFonts w:hint="eastAsia" w:ascii="宋体" w:hAnsi="宋体"/>
          <w:b/>
          <w:sz w:val="28"/>
          <w:szCs w:val="28"/>
          <w:highlight w:val="none"/>
          <w:u w:val="none"/>
          <w:lang w:eastAsia="zh-CN"/>
        </w:rPr>
        <w:t>经评审的最低投标价法</w:t>
      </w:r>
      <w:r>
        <w:rPr>
          <w:rFonts w:ascii="宋体" w:hAnsi="宋体"/>
          <w:b/>
          <w:sz w:val="28"/>
          <w:szCs w:val="28"/>
          <w:highlight w:val="none"/>
          <w:u w:val="none"/>
          <w:lang w:eastAsia="zh-CN"/>
        </w:rPr>
        <w:t>否决投标情况一览表</w:t>
      </w:r>
    </w:p>
    <w:p w14:paraId="10E19B82">
      <w:pPr>
        <w:pStyle w:val="38"/>
        <w:spacing w:line="360" w:lineRule="auto"/>
        <w:ind w:firstLine="420" w:firstLineChars="200"/>
        <w:jc w:val="both"/>
        <w:rPr>
          <w:rFonts w:ascii="宋体" w:hAnsi="宋体"/>
          <w:sz w:val="21"/>
          <w:szCs w:val="21"/>
          <w:highlight w:val="none"/>
          <w:u w:val="none"/>
          <w:lang w:eastAsia="zh-CN"/>
        </w:rPr>
      </w:pPr>
      <w:r>
        <w:rPr>
          <w:rFonts w:ascii="宋体" w:hAnsi="宋体"/>
          <w:sz w:val="21"/>
          <w:szCs w:val="21"/>
          <w:highlight w:val="none"/>
          <w:u w:val="none"/>
          <w:lang w:eastAsia="zh-CN"/>
        </w:rPr>
        <w:t>一览表中投标人有下列情形之一的，其投标作否决投标处理，否决投标条件之外的评标委员会不得判为重大偏差。</w:t>
      </w:r>
    </w:p>
    <w:tbl>
      <w:tblPr>
        <w:tblStyle w:val="53"/>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5254C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8C47C54">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14:paraId="0276E95E">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1A744FE7">
            <w:pPr>
              <w:spacing w:line="400" w:lineRule="exact"/>
              <w:jc w:val="center"/>
              <w:rPr>
                <w:rFonts w:ascii="宋体" w:hAnsi="宋体"/>
                <w:b/>
                <w:szCs w:val="21"/>
                <w:highlight w:val="none"/>
              </w:rPr>
            </w:pPr>
            <w:r>
              <w:rPr>
                <w:rFonts w:ascii="宋体" w:hAnsi="宋体"/>
                <w:b/>
                <w:szCs w:val="21"/>
                <w:highlight w:val="none"/>
              </w:rPr>
              <w:t>否决投标条件</w:t>
            </w:r>
          </w:p>
        </w:tc>
      </w:tr>
      <w:tr w14:paraId="18B4BC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6CC0B082">
            <w:pPr>
              <w:spacing w:line="400" w:lineRule="exact"/>
              <w:jc w:val="center"/>
              <w:rPr>
                <w:rFonts w:hint="eastAsia" w:ascii="宋体" w:hAnsi="宋体"/>
                <w:szCs w:val="21"/>
                <w:highlight w:val="none"/>
              </w:rPr>
            </w:pPr>
            <w:r>
              <w:rPr>
                <w:rFonts w:hint="eastAsia" w:ascii="宋体" w:hAnsi="宋体"/>
                <w:szCs w:val="21"/>
                <w:highlight w:val="none"/>
              </w:rPr>
              <w:t>第二章</w:t>
            </w:r>
          </w:p>
          <w:p w14:paraId="629E2AF7">
            <w:pPr>
              <w:spacing w:line="400" w:lineRule="exact"/>
              <w:jc w:val="center"/>
              <w:rPr>
                <w:rFonts w:hint="eastAsia" w:ascii="宋体" w:hAnsi="宋体"/>
                <w:szCs w:val="21"/>
                <w:highlight w:val="none"/>
              </w:rPr>
            </w:pPr>
            <w:r>
              <w:rPr>
                <w:rFonts w:hint="eastAsia" w:ascii="宋体" w:hAnsi="宋体"/>
                <w:szCs w:val="21"/>
                <w:highlight w:val="none"/>
              </w:rPr>
              <w:t>3.2</w:t>
            </w:r>
          </w:p>
        </w:tc>
        <w:tc>
          <w:tcPr>
            <w:tcW w:w="1899" w:type="dxa"/>
            <w:vMerge w:val="restart"/>
            <w:vAlign w:val="center"/>
          </w:tcPr>
          <w:p w14:paraId="310973FF">
            <w:pPr>
              <w:spacing w:line="400" w:lineRule="exact"/>
              <w:jc w:val="center"/>
              <w:rPr>
                <w:rFonts w:hint="eastAsia" w:ascii="宋体" w:hAnsi="宋体"/>
                <w:szCs w:val="21"/>
                <w:highlight w:val="none"/>
              </w:rPr>
            </w:pPr>
            <w:r>
              <w:rPr>
                <w:rFonts w:hint="eastAsia" w:ascii="宋体" w:hAnsi="宋体"/>
                <w:szCs w:val="21"/>
                <w:highlight w:val="none"/>
              </w:rPr>
              <w:t>投标报价</w:t>
            </w:r>
          </w:p>
        </w:tc>
        <w:tc>
          <w:tcPr>
            <w:tcW w:w="6333" w:type="dxa"/>
            <w:vAlign w:val="center"/>
          </w:tcPr>
          <w:p w14:paraId="0556F996">
            <w:pPr>
              <w:spacing w:line="400" w:lineRule="exact"/>
              <w:ind w:firstLine="420" w:firstLineChars="200"/>
              <w:rPr>
                <w:rFonts w:hint="eastAsia" w:ascii="宋体" w:hAnsi="宋体"/>
                <w:szCs w:val="21"/>
                <w:highlight w:val="none"/>
              </w:rPr>
            </w:pPr>
            <w:r>
              <w:rPr>
                <w:rFonts w:hint="eastAsia" w:ascii="宋体" w:hAnsi="宋体"/>
                <w:szCs w:val="21"/>
                <w:highlight w:val="none"/>
              </w:rPr>
              <w:t>A-1投标函中的总报价必须与已标价工程量清单总报价一致，否则由评标委员会作否决投标处理。</w:t>
            </w:r>
          </w:p>
        </w:tc>
      </w:tr>
      <w:tr w14:paraId="1CDE8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0B34913">
            <w:pPr>
              <w:spacing w:line="400" w:lineRule="exact"/>
              <w:jc w:val="center"/>
              <w:rPr>
                <w:rFonts w:hint="eastAsia" w:ascii="宋体" w:hAnsi="宋体"/>
                <w:szCs w:val="21"/>
                <w:highlight w:val="none"/>
              </w:rPr>
            </w:pPr>
          </w:p>
        </w:tc>
        <w:tc>
          <w:tcPr>
            <w:tcW w:w="1899" w:type="dxa"/>
            <w:vMerge w:val="continue"/>
            <w:vAlign w:val="center"/>
          </w:tcPr>
          <w:p w14:paraId="45A36E4A">
            <w:pPr>
              <w:spacing w:line="400" w:lineRule="exact"/>
              <w:jc w:val="center"/>
              <w:rPr>
                <w:rFonts w:hint="eastAsia" w:ascii="宋体" w:hAnsi="宋体"/>
                <w:szCs w:val="21"/>
                <w:highlight w:val="none"/>
              </w:rPr>
            </w:pPr>
          </w:p>
        </w:tc>
        <w:tc>
          <w:tcPr>
            <w:tcW w:w="6333" w:type="dxa"/>
            <w:vAlign w:val="center"/>
          </w:tcPr>
          <w:p w14:paraId="246826FA">
            <w:pPr>
              <w:spacing w:line="400" w:lineRule="exact"/>
              <w:ind w:firstLine="420" w:firstLineChars="200"/>
              <w:rPr>
                <w:rFonts w:hint="eastAsia" w:ascii="宋体" w:hAnsi="宋体"/>
                <w:szCs w:val="21"/>
                <w:highlight w:val="none"/>
              </w:rPr>
            </w:pPr>
            <w:r>
              <w:rPr>
                <w:rFonts w:hint="eastAsia" w:ascii="宋体" w:hAnsi="宋体"/>
                <w:szCs w:val="21"/>
                <w:highlight w:val="none"/>
              </w:rPr>
              <w:t>A-2《投标函》及工程量清单报价中的安全文明施工费必须按照</w:t>
            </w:r>
            <w:r>
              <w:rPr>
                <w:rFonts w:hint="eastAsia" w:ascii="宋体" w:hAnsi="宋体"/>
                <w:szCs w:val="21"/>
                <w:highlight w:val="none"/>
                <w:lang w:eastAsia="zh-CN"/>
              </w:rPr>
              <w:t>比选人</w:t>
            </w:r>
            <w:r>
              <w:rPr>
                <w:rFonts w:hint="eastAsia" w:ascii="宋体" w:hAnsi="宋体"/>
                <w:szCs w:val="21"/>
                <w:highlight w:val="none"/>
              </w:rPr>
              <w:t>给出的暂定金额填报，否则视为对</w:t>
            </w:r>
            <w:r>
              <w:rPr>
                <w:rFonts w:hint="eastAsia" w:ascii="宋体" w:hAnsi="宋体"/>
                <w:szCs w:val="21"/>
                <w:highlight w:val="none"/>
                <w:lang w:eastAsia="zh-CN"/>
              </w:rPr>
              <w:t>比选文件</w:t>
            </w:r>
            <w:r>
              <w:rPr>
                <w:rFonts w:hint="eastAsia" w:ascii="宋体" w:hAnsi="宋体"/>
                <w:szCs w:val="21"/>
                <w:highlight w:val="none"/>
              </w:rPr>
              <w:t>不作实质性响应，其投标文件由评标委员会作否决投标处理。</w:t>
            </w:r>
          </w:p>
        </w:tc>
      </w:tr>
      <w:tr w14:paraId="5AF708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Align w:val="center"/>
          </w:tcPr>
          <w:p w14:paraId="4B5D5E92">
            <w:pPr>
              <w:spacing w:line="400" w:lineRule="exact"/>
              <w:jc w:val="center"/>
              <w:rPr>
                <w:rFonts w:hint="eastAsia" w:ascii="宋体" w:hAnsi="宋体"/>
                <w:szCs w:val="21"/>
                <w:highlight w:val="none"/>
              </w:rPr>
            </w:pPr>
            <w:r>
              <w:rPr>
                <w:rFonts w:hint="eastAsia" w:ascii="宋体" w:hAnsi="宋体"/>
                <w:szCs w:val="21"/>
                <w:highlight w:val="none"/>
              </w:rPr>
              <w:t>第二章</w:t>
            </w:r>
          </w:p>
          <w:p w14:paraId="372A96B2">
            <w:pPr>
              <w:spacing w:line="400" w:lineRule="exact"/>
              <w:jc w:val="center"/>
              <w:rPr>
                <w:rFonts w:hint="eastAsia" w:ascii="宋体" w:hAnsi="宋体"/>
                <w:szCs w:val="21"/>
                <w:highlight w:val="none"/>
              </w:rPr>
            </w:pPr>
            <w:r>
              <w:rPr>
                <w:rFonts w:hint="eastAsia" w:ascii="宋体" w:hAnsi="宋体"/>
                <w:szCs w:val="21"/>
                <w:highlight w:val="none"/>
              </w:rPr>
              <w:t>3.4</w:t>
            </w:r>
          </w:p>
        </w:tc>
        <w:tc>
          <w:tcPr>
            <w:tcW w:w="1899" w:type="dxa"/>
            <w:vAlign w:val="center"/>
          </w:tcPr>
          <w:p w14:paraId="39B457DD">
            <w:pPr>
              <w:spacing w:line="400" w:lineRule="exact"/>
              <w:jc w:val="center"/>
              <w:rPr>
                <w:rFonts w:hint="eastAsia" w:ascii="宋体" w:hAnsi="宋体"/>
                <w:szCs w:val="21"/>
                <w:highlight w:val="none"/>
              </w:rPr>
            </w:pPr>
            <w:r>
              <w:rPr>
                <w:rFonts w:hint="eastAsia" w:ascii="宋体" w:hAnsi="宋体"/>
                <w:szCs w:val="21"/>
                <w:highlight w:val="none"/>
              </w:rPr>
              <w:t>投标保证金</w:t>
            </w:r>
          </w:p>
          <w:p w14:paraId="3CDF8472">
            <w:pPr>
              <w:spacing w:line="400" w:lineRule="exact"/>
              <w:jc w:val="both"/>
              <w:rPr>
                <w:rFonts w:hint="eastAsia" w:ascii="宋体" w:hAnsi="宋体"/>
                <w:szCs w:val="21"/>
                <w:highlight w:val="none"/>
              </w:rPr>
            </w:pPr>
          </w:p>
        </w:tc>
        <w:tc>
          <w:tcPr>
            <w:tcW w:w="6333" w:type="dxa"/>
            <w:vAlign w:val="center"/>
          </w:tcPr>
          <w:p w14:paraId="4871DCC5">
            <w:pPr>
              <w:spacing w:line="400" w:lineRule="exact"/>
              <w:ind w:firstLine="420" w:firstLineChars="200"/>
              <w:rPr>
                <w:rFonts w:hint="eastAsia" w:ascii="宋体" w:hAnsi="宋体"/>
                <w:szCs w:val="21"/>
                <w:highlight w:val="none"/>
              </w:rPr>
            </w:pPr>
            <w:r>
              <w:rPr>
                <w:rFonts w:hint="eastAsia" w:ascii="宋体" w:hAnsi="宋体"/>
                <w:szCs w:val="21"/>
                <w:highlight w:val="none"/>
              </w:rPr>
              <w:t>A-3</w:t>
            </w:r>
            <w:r>
              <w:rPr>
                <w:rFonts w:ascii="宋体" w:hAnsi="宋体"/>
                <w:szCs w:val="21"/>
                <w:highlight w:val="none"/>
              </w:rPr>
              <w:t>投标人应按投标人须知前附表规定的金额、担保形式</w:t>
            </w:r>
            <w:r>
              <w:rPr>
                <w:rFonts w:hint="eastAsia" w:ascii="宋体" w:hAnsi="宋体"/>
                <w:szCs w:val="21"/>
                <w:highlight w:val="none"/>
              </w:rPr>
              <w:t>等</w:t>
            </w:r>
            <w:r>
              <w:rPr>
                <w:rFonts w:ascii="宋体" w:hAnsi="宋体"/>
                <w:szCs w:val="21"/>
                <w:highlight w:val="none"/>
              </w:rPr>
              <w:t>递交投标保证金，并作为其投标文件的组成部分。</w:t>
            </w:r>
          </w:p>
        </w:tc>
      </w:tr>
      <w:tr w14:paraId="488E5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Align w:val="center"/>
          </w:tcPr>
          <w:p w14:paraId="1DD9D6E8">
            <w:pPr>
              <w:spacing w:line="400" w:lineRule="exact"/>
              <w:jc w:val="center"/>
              <w:rPr>
                <w:rFonts w:hint="eastAsia" w:ascii="宋体" w:hAnsi="宋体"/>
                <w:szCs w:val="21"/>
                <w:highlight w:val="none"/>
              </w:rPr>
            </w:pPr>
            <w:r>
              <w:rPr>
                <w:rFonts w:hint="eastAsia" w:ascii="宋体" w:hAnsi="宋体"/>
                <w:szCs w:val="21"/>
                <w:highlight w:val="none"/>
              </w:rPr>
              <w:t>第二章</w:t>
            </w:r>
          </w:p>
          <w:p w14:paraId="57871CC0">
            <w:pPr>
              <w:spacing w:line="400" w:lineRule="exact"/>
              <w:jc w:val="center"/>
              <w:rPr>
                <w:rFonts w:hint="eastAsia" w:ascii="宋体" w:hAnsi="宋体"/>
                <w:szCs w:val="21"/>
                <w:highlight w:val="none"/>
              </w:rPr>
            </w:pPr>
            <w:r>
              <w:rPr>
                <w:rFonts w:hint="eastAsia" w:ascii="宋体" w:hAnsi="宋体"/>
                <w:szCs w:val="21"/>
                <w:highlight w:val="none"/>
              </w:rPr>
              <w:t>3.7.3</w:t>
            </w:r>
          </w:p>
        </w:tc>
        <w:tc>
          <w:tcPr>
            <w:tcW w:w="1899" w:type="dxa"/>
            <w:vAlign w:val="center"/>
          </w:tcPr>
          <w:p w14:paraId="70415A99">
            <w:pPr>
              <w:spacing w:line="400" w:lineRule="exact"/>
              <w:jc w:val="center"/>
              <w:rPr>
                <w:rFonts w:hint="eastAsia" w:ascii="宋体" w:hAnsi="宋体"/>
                <w:szCs w:val="21"/>
                <w:highlight w:val="none"/>
              </w:rPr>
            </w:pPr>
            <w:r>
              <w:rPr>
                <w:rFonts w:hint="eastAsia" w:ascii="宋体" w:hAnsi="宋体"/>
                <w:szCs w:val="21"/>
                <w:highlight w:val="none"/>
              </w:rPr>
              <w:t>签字盖章要求</w:t>
            </w:r>
          </w:p>
        </w:tc>
        <w:tc>
          <w:tcPr>
            <w:tcW w:w="6333" w:type="dxa"/>
            <w:vAlign w:val="center"/>
          </w:tcPr>
          <w:p w14:paraId="1B079F09">
            <w:pPr>
              <w:spacing w:line="400" w:lineRule="exact"/>
              <w:ind w:firstLine="420" w:firstLineChars="200"/>
              <w:rPr>
                <w:rFonts w:hint="eastAsia" w:ascii="宋体" w:hAnsi="宋体"/>
                <w:szCs w:val="21"/>
                <w:highlight w:val="none"/>
              </w:rPr>
            </w:pPr>
            <w:r>
              <w:rPr>
                <w:rFonts w:hint="eastAsia" w:ascii="宋体" w:hAnsi="宋体"/>
                <w:szCs w:val="21"/>
                <w:highlight w:val="none"/>
              </w:rPr>
              <w:t>A-4按本章投标人须知3.7.3款执行，否则由评标委员会作否决投标处理。</w:t>
            </w:r>
          </w:p>
        </w:tc>
      </w:tr>
      <w:tr w14:paraId="6387F5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vAlign w:val="center"/>
          </w:tcPr>
          <w:p w14:paraId="104F7C19">
            <w:pPr>
              <w:spacing w:line="400" w:lineRule="exact"/>
              <w:jc w:val="center"/>
              <w:rPr>
                <w:rFonts w:hint="eastAsia" w:ascii="宋体" w:hAnsi="宋体"/>
                <w:szCs w:val="21"/>
                <w:highlight w:val="none"/>
              </w:rPr>
            </w:pPr>
            <w:r>
              <w:rPr>
                <w:rFonts w:hint="eastAsia" w:ascii="宋体" w:hAnsi="宋体"/>
                <w:szCs w:val="21"/>
                <w:highlight w:val="none"/>
              </w:rPr>
              <w:t>第三章</w:t>
            </w:r>
          </w:p>
        </w:tc>
        <w:tc>
          <w:tcPr>
            <w:tcW w:w="1899" w:type="dxa"/>
            <w:vMerge w:val="restart"/>
            <w:vAlign w:val="center"/>
          </w:tcPr>
          <w:p w14:paraId="0C15C085">
            <w:pPr>
              <w:spacing w:line="400" w:lineRule="exact"/>
              <w:jc w:val="center"/>
              <w:rPr>
                <w:rFonts w:hint="eastAsia" w:ascii="宋体" w:hAnsi="宋体"/>
                <w:szCs w:val="21"/>
                <w:highlight w:val="none"/>
              </w:rPr>
            </w:pPr>
            <w:r>
              <w:rPr>
                <w:rFonts w:hint="eastAsia" w:ascii="宋体" w:hAnsi="宋体"/>
                <w:szCs w:val="21"/>
                <w:highlight w:val="none"/>
              </w:rPr>
              <w:t>形式评审</w:t>
            </w:r>
          </w:p>
        </w:tc>
        <w:tc>
          <w:tcPr>
            <w:tcW w:w="6333" w:type="dxa"/>
            <w:vAlign w:val="top"/>
          </w:tcPr>
          <w:p w14:paraId="1DEF8289">
            <w:pPr>
              <w:spacing w:line="400" w:lineRule="exact"/>
              <w:ind w:firstLine="420" w:firstLineChars="200"/>
              <w:rPr>
                <w:rFonts w:hint="eastAsia" w:ascii="宋体" w:hAnsi="宋体"/>
                <w:szCs w:val="21"/>
                <w:highlight w:val="none"/>
              </w:rPr>
            </w:pPr>
            <w:r>
              <w:rPr>
                <w:rFonts w:hint="eastAsia" w:ascii="宋体" w:hAnsi="宋体"/>
                <w:szCs w:val="21"/>
                <w:highlight w:val="none"/>
              </w:rPr>
              <w:t>A-5投标人名称必须与营业执照、资质证书、安全生产许可证一致，</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1BA059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9B4475D">
            <w:pPr>
              <w:spacing w:line="400" w:lineRule="exact"/>
              <w:jc w:val="center"/>
              <w:rPr>
                <w:rFonts w:hint="eastAsia" w:ascii="宋体" w:hAnsi="宋体"/>
                <w:szCs w:val="21"/>
                <w:highlight w:val="none"/>
              </w:rPr>
            </w:pPr>
          </w:p>
        </w:tc>
        <w:tc>
          <w:tcPr>
            <w:tcW w:w="1899" w:type="dxa"/>
            <w:vMerge w:val="continue"/>
            <w:vAlign w:val="center"/>
          </w:tcPr>
          <w:p w14:paraId="4AD9C5B0">
            <w:pPr>
              <w:spacing w:line="400" w:lineRule="exact"/>
              <w:jc w:val="center"/>
              <w:rPr>
                <w:rFonts w:hint="eastAsia" w:ascii="宋体" w:hAnsi="宋体"/>
                <w:szCs w:val="21"/>
                <w:highlight w:val="none"/>
              </w:rPr>
            </w:pPr>
          </w:p>
        </w:tc>
        <w:tc>
          <w:tcPr>
            <w:tcW w:w="6333" w:type="dxa"/>
            <w:vAlign w:val="top"/>
          </w:tcPr>
          <w:p w14:paraId="3B59D6B8">
            <w:pPr>
              <w:spacing w:line="400" w:lineRule="exact"/>
              <w:ind w:firstLine="420" w:firstLineChars="200"/>
              <w:rPr>
                <w:rFonts w:hint="eastAsia" w:ascii="宋体" w:hAnsi="宋体"/>
                <w:szCs w:val="21"/>
                <w:highlight w:val="none"/>
              </w:rPr>
            </w:pPr>
            <w:r>
              <w:rPr>
                <w:rFonts w:hint="eastAsia" w:ascii="宋体" w:hAnsi="宋体"/>
                <w:szCs w:val="21"/>
                <w:highlight w:val="none"/>
              </w:rPr>
              <w:t>A-6投标函规定签字、盖章的位置有法定代表人或其委托代理人签字（或盖章）、加盖单位法人章，否则由评标委员会作否决投标处理。</w:t>
            </w:r>
          </w:p>
        </w:tc>
      </w:tr>
      <w:tr w14:paraId="72735D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EFDBF4">
            <w:pPr>
              <w:spacing w:line="400" w:lineRule="exact"/>
              <w:jc w:val="center"/>
              <w:rPr>
                <w:rFonts w:hint="eastAsia" w:ascii="宋体" w:hAnsi="宋体"/>
                <w:szCs w:val="21"/>
                <w:highlight w:val="none"/>
              </w:rPr>
            </w:pPr>
          </w:p>
        </w:tc>
        <w:tc>
          <w:tcPr>
            <w:tcW w:w="1899" w:type="dxa"/>
            <w:vMerge w:val="continue"/>
            <w:vAlign w:val="center"/>
          </w:tcPr>
          <w:p w14:paraId="1742029C">
            <w:pPr>
              <w:spacing w:line="400" w:lineRule="exact"/>
              <w:jc w:val="center"/>
              <w:rPr>
                <w:rFonts w:hint="eastAsia" w:ascii="宋体" w:hAnsi="宋体"/>
                <w:szCs w:val="21"/>
                <w:highlight w:val="none"/>
              </w:rPr>
            </w:pPr>
          </w:p>
        </w:tc>
        <w:tc>
          <w:tcPr>
            <w:tcW w:w="6333" w:type="dxa"/>
            <w:vAlign w:val="top"/>
          </w:tcPr>
          <w:p w14:paraId="57C2CB59">
            <w:pPr>
              <w:spacing w:line="400" w:lineRule="exact"/>
              <w:ind w:firstLine="420" w:firstLineChars="200"/>
              <w:rPr>
                <w:rFonts w:hint="eastAsia" w:ascii="宋体" w:hAnsi="宋体"/>
                <w:szCs w:val="21"/>
                <w:highlight w:val="none"/>
              </w:rPr>
            </w:pPr>
            <w:r>
              <w:rPr>
                <w:rFonts w:hint="eastAsia" w:ascii="宋体" w:hAnsi="宋体"/>
                <w:szCs w:val="21"/>
                <w:highlight w:val="none"/>
              </w:rPr>
              <w:t>A-7投标文件格式符合第八章“投标文件格式”的要求，否则由评标委员会作否决投标处理。</w:t>
            </w:r>
          </w:p>
        </w:tc>
      </w:tr>
      <w:tr w14:paraId="602862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88F39D">
            <w:pPr>
              <w:spacing w:line="400" w:lineRule="exact"/>
              <w:jc w:val="center"/>
              <w:rPr>
                <w:rFonts w:hint="eastAsia" w:ascii="宋体" w:hAnsi="宋体"/>
                <w:szCs w:val="21"/>
                <w:highlight w:val="none"/>
              </w:rPr>
            </w:pPr>
          </w:p>
        </w:tc>
        <w:tc>
          <w:tcPr>
            <w:tcW w:w="1899" w:type="dxa"/>
            <w:vMerge w:val="continue"/>
            <w:vAlign w:val="center"/>
          </w:tcPr>
          <w:p w14:paraId="6E386C17">
            <w:pPr>
              <w:spacing w:line="400" w:lineRule="exact"/>
              <w:jc w:val="center"/>
              <w:rPr>
                <w:rFonts w:hint="eastAsia" w:ascii="宋体" w:hAnsi="宋体"/>
                <w:szCs w:val="21"/>
                <w:highlight w:val="none"/>
              </w:rPr>
            </w:pPr>
          </w:p>
        </w:tc>
        <w:tc>
          <w:tcPr>
            <w:tcW w:w="6333" w:type="dxa"/>
            <w:vAlign w:val="top"/>
          </w:tcPr>
          <w:p w14:paraId="560D9AE4">
            <w:pPr>
              <w:autoSpaceDE w:val="0"/>
              <w:autoSpaceDN w:val="0"/>
              <w:adjustRightInd w:val="0"/>
              <w:snapToGrid w:val="0"/>
              <w:spacing w:line="400" w:lineRule="exact"/>
              <w:ind w:firstLine="420" w:firstLineChars="200"/>
              <w:rPr>
                <w:rFonts w:hint="eastAsia" w:ascii="宋体" w:hAnsi="宋体"/>
                <w:i/>
                <w:szCs w:val="21"/>
                <w:highlight w:val="none"/>
              </w:rPr>
            </w:pPr>
            <w:r>
              <w:rPr>
                <w:rFonts w:hint="eastAsia" w:ascii="宋体" w:hAnsi="宋体"/>
                <w:szCs w:val="21"/>
                <w:highlight w:val="none"/>
              </w:rPr>
              <w:t>A-8</w:t>
            </w:r>
            <w:r>
              <w:rPr>
                <w:rFonts w:ascii="宋体" w:hAnsi="宋体"/>
                <w:kern w:val="0"/>
                <w:szCs w:val="21"/>
                <w:highlight w:val="none"/>
              </w:rPr>
              <w:t>投标文件正本</w:t>
            </w:r>
            <w:r>
              <w:rPr>
                <w:rFonts w:hint="eastAsia" w:ascii="宋体" w:hAnsi="宋体"/>
                <w:kern w:val="0"/>
                <w:szCs w:val="21"/>
                <w:highlight w:val="none"/>
              </w:rPr>
              <w:t>1份、副本2份，电子版形式（</w:t>
            </w:r>
            <w:r>
              <w:rPr>
                <w:rFonts w:hint="eastAsia" w:ascii="宋体" w:hAnsi="宋体"/>
                <w:kern w:val="0"/>
                <w:szCs w:val="21"/>
                <w:highlight w:val="none"/>
                <w:lang w:val="en-US" w:eastAsia="zh-CN"/>
              </w:rPr>
              <w:t>U</w:t>
            </w:r>
            <w:r>
              <w:rPr>
                <w:rFonts w:hint="eastAsia" w:ascii="宋体" w:hAnsi="宋体"/>
                <w:kern w:val="0"/>
                <w:szCs w:val="21"/>
                <w:highlight w:val="none"/>
              </w:rPr>
              <w:t>盘）1份。当副本和正本不一致时，以正本为准。否则由评标委员会作否决投标处理。</w:t>
            </w:r>
          </w:p>
        </w:tc>
      </w:tr>
      <w:tr w14:paraId="6E524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B078EF">
            <w:pPr>
              <w:spacing w:line="400" w:lineRule="exact"/>
              <w:jc w:val="center"/>
              <w:rPr>
                <w:rFonts w:hint="eastAsia" w:ascii="宋体" w:hAnsi="宋体"/>
                <w:szCs w:val="21"/>
                <w:highlight w:val="none"/>
              </w:rPr>
            </w:pPr>
          </w:p>
        </w:tc>
        <w:tc>
          <w:tcPr>
            <w:tcW w:w="1899" w:type="dxa"/>
            <w:vMerge w:val="continue"/>
            <w:vAlign w:val="center"/>
          </w:tcPr>
          <w:p w14:paraId="16272C9B">
            <w:pPr>
              <w:spacing w:line="400" w:lineRule="exact"/>
              <w:jc w:val="center"/>
              <w:rPr>
                <w:rFonts w:hint="eastAsia" w:ascii="宋体" w:hAnsi="宋体"/>
                <w:szCs w:val="21"/>
                <w:highlight w:val="none"/>
              </w:rPr>
            </w:pPr>
          </w:p>
        </w:tc>
        <w:tc>
          <w:tcPr>
            <w:tcW w:w="6333" w:type="dxa"/>
            <w:vAlign w:val="top"/>
          </w:tcPr>
          <w:p w14:paraId="62881D8E">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9</w:t>
            </w:r>
            <w:r>
              <w:rPr>
                <w:rFonts w:hint="eastAsia" w:ascii="宋体" w:hAnsi="宋体"/>
                <w:szCs w:val="21"/>
                <w:highlight w:val="none"/>
              </w:rPr>
              <w:t>只能有一个有效报价。在</w:t>
            </w:r>
            <w:r>
              <w:rPr>
                <w:rFonts w:hint="eastAsia" w:ascii="宋体" w:hAnsi="宋体"/>
                <w:szCs w:val="21"/>
                <w:highlight w:val="none"/>
                <w:lang w:eastAsia="zh-CN"/>
              </w:rPr>
              <w:t>比选文件</w:t>
            </w:r>
            <w:r>
              <w:rPr>
                <w:rFonts w:hint="eastAsia" w:ascii="宋体" w:hAnsi="宋体"/>
                <w:szCs w:val="21"/>
                <w:highlight w:val="none"/>
              </w:rPr>
              <w:t>没有规定的情况下，不得提交选择性报价，否则由评标委员会作否决投标处理。</w:t>
            </w:r>
          </w:p>
        </w:tc>
      </w:tr>
      <w:tr w14:paraId="77A622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185886">
            <w:pPr>
              <w:spacing w:line="400" w:lineRule="exact"/>
              <w:jc w:val="center"/>
              <w:rPr>
                <w:rFonts w:hint="eastAsia" w:ascii="宋体" w:hAnsi="宋体"/>
                <w:szCs w:val="21"/>
                <w:highlight w:val="none"/>
              </w:rPr>
            </w:pPr>
          </w:p>
        </w:tc>
        <w:tc>
          <w:tcPr>
            <w:tcW w:w="1899" w:type="dxa"/>
            <w:vMerge w:val="continue"/>
            <w:vAlign w:val="center"/>
          </w:tcPr>
          <w:p w14:paraId="5A7648C2">
            <w:pPr>
              <w:spacing w:line="400" w:lineRule="exact"/>
              <w:jc w:val="center"/>
              <w:rPr>
                <w:rFonts w:hint="eastAsia" w:ascii="宋体" w:hAnsi="宋体"/>
                <w:szCs w:val="21"/>
                <w:highlight w:val="none"/>
              </w:rPr>
            </w:pPr>
          </w:p>
        </w:tc>
        <w:tc>
          <w:tcPr>
            <w:tcW w:w="6333" w:type="dxa"/>
            <w:vAlign w:val="top"/>
          </w:tcPr>
          <w:p w14:paraId="05E5C57F">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0</w:t>
            </w:r>
            <w:r>
              <w:rPr>
                <w:rFonts w:hint="eastAsia" w:ascii="宋体" w:hAnsi="宋体"/>
                <w:szCs w:val="21"/>
                <w:highlight w:val="none"/>
              </w:rPr>
              <w:t>投标文件中投标文件格式要求须法定代表人或其委托代理人的签字（或盖章）须齐全，否则由评标委员会作否决投标处理。</w:t>
            </w:r>
          </w:p>
        </w:tc>
      </w:tr>
      <w:tr w14:paraId="4A0AAE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5848EC">
            <w:pPr>
              <w:spacing w:line="400" w:lineRule="exact"/>
              <w:jc w:val="center"/>
              <w:rPr>
                <w:rFonts w:hint="eastAsia" w:ascii="宋体" w:hAnsi="宋体"/>
                <w:szCs w:val="21"/>
                <w:highlight w:val="none"/>
              </w:rPr>
            </w:pPr>
          </w:p>
        </w:tc>
        <w:tc>
          <w:tcPr>
            <w:tcW w:w="1899" w:type="dxa"/>
            <w:vMerge w:val="continue"/>
            <w:vAlign w:val="center"/>
          </w:tcPr>
          <w:p w14:paraId="1C52FBA8">
            <w:pPr>
              <w:spacing w:line="400" w:lineRule="exact"/>
              <w:jc w:val="center"/>
              <w:rPr>
                <w:rFonts w:hint="eastAsia" w:ascii="宋体" w:hAnsi="宋体"/>
                <w:szCs w:val="21"/>
                <w:highlight w:val="none"/>
              </w:rPr>
            </w:pPr>
          </w:p>
        </w:tc>
        <w:tc>
          <w:tcPr>
            <w:tcW w:w="6333" w:type="dxa"/>
            <w:vAlign w:val="top"/>
          </w:tcPr>
          <w:p w14:paraId="1BA59A90">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1</w:t>
            </w:r>
            <w:r>
              <w:rPr>
                <w:rFonts w:hint="eastAsia" w:ascii="宋体" w:hAnsi="宋体"/>
                <w:szCs w:val="21"/>
                <w:highlight w:val="none"/>
              </w:rPr>
              <w:t>投标人法定代表人的委托代理人有法定代表人签署的授权委托书。</w:t>
            </w:r>
          </w:p>
        </w:tc>
      </w:tr>
      <w:tr w14:paraId="07CEF2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6CE08B">
            <w:pPr>
              <w:spacing w:line="400" w:lineRule="exact"/>
              <w:jc w:val="center"/>
              <w:rPr>
                <w:rFonts w:hint="eastAsia" w:ascii="宋体" w:hAnsi="宋体"/>
                <w:szCs w:val="21"/>
                <w:highlight w:val="none"/>
              </w:rPr>
            </w:pPr>
          </w:p>
        </w:tc>
        <w:tc>
          <w:tcPr>
            <w:tcW w:w="1899" w:type="dxa"/>
            <w:vMerge w:val="restart"/>
            <w:vAlign w:val="center"/>
          </w:tcPr>
          <w:p w14:paraId="794E50F1">
            <w:pPr>
              <w:spacing w:line="400" w:lineRule="exact"/>
              <w:jc w:val="center"/>
              <w:rPr>
                <w:rFonts w:hint="eastAsia" w:ascii="宋体" w:hAnsi="宋体"/>
                <w:szCs w:val="21"/>
                <w:highlight w:val="none"/>
              </w:rPr>
            </w:pPr>
            <w:r>
              <w:rPr>
                <w:rFonts w:hint="eastAsia" w:ascii="宋体" w:hAnsi="宋体"/>
                <w:szCs w:val="21"/>
                <w:highlight w:val="none"/>
              </w:rPr>
              <w:t>资格评审</w:t>
            </w:r>
          </w:p>
        </w:tc>
        <w:tc>
          <w:tcPr>
            <w:tcW w:w="6333" w:type="dxa"/>
            <w:vAlign w:val="center"/>
          </w:tcPr>
          <w:p w14:paraId="1178D7A1">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2</w:t>
            </w:r>
            <w:r>
              <w:rPr>
                <w:rFonts w:hint="eastAsia" w:ascii="宋体" w:hAnsi="宋体"/>
                <w:szCs w:val="21"/>
                <w:highlight w:val="none"/>
              </w:rPr>
              <w:t>投标人的资质条件、营业执照及安全生产条件须满足投标人须知前附表1.4.1项第1条的要求，否则由评标委员会作否决投标处理。</w:t>
            </w:r>
          </w:p>
        </w:tc>
      </w:tr>
      <w:tr w14:paraId="6DA57C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E5E788">
            <w:pPr>
              <w:spacing w:line="400" w:lineRule="exact"/>
              <w:jc w:val="center"/>
              <w:rPr>
                <w:rFonts w:hint="eastAsia" w:ascii="宋体" w:hAnsi="宋体"/>
                <w:szCs w:val="21"/>
                <w:highlight w:val="none"/>
              </w:rPr>
            </w:pPr>
          </w:p>
        </w:tc>
        <w:tc>
          <w:tcPr>
            <w:tcW w:w="1899" w:type="dxa"/>
            <w:vMerge w:val="continue"/>
            <w:vAlign w:val="center"/>
          </w:tcPr>
          <w:p w14:paraId="6407D431">
            <w:pPr>
              <w:spacing w:line="400" w:lineRule="exact"/>
              <w:jc w:val="center"/>
              <w:rPr>
                <w:rFonts w:hint="eastAsia" w:ascii="宋体" w:hAnsi="宋体"/>
                <w:szCs w:val="21"/>
                <w:highlight w:val="none"/>
              </w:rPr>
            </w:pPr>
          </w:p>
        </w:tc>
        <w:tc>
          <w:tcPr>
            <w:tcW w:w="6333" w:type="dxa"/>
            <w:vAlign w:val="center"/>
          </w:tcPr>
          <w:p w14:paraId="4BC39668">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3</w:t>
            </w:r>
            <w:r>
              <w:rPr>
                <w:rFonts w:hint="eastAsia" w:ascii="宋体" w:hAnsi="宋体"/>
                <w:szCs w:val="21"/>
                <w:highlight w:val="none"/>
              </w:rPr>
              <w:t>投标人的投标截止日投标资格情况须满足投标人须知前附表1.4.1项第</w:t>
            </w:r>
            <w:r>
              <w:rPr>
                <w:rFonts w:hint="eastAsia" w:ascii="宋体" w:hAnsi="宋体"/>
                <w:szCs w:val="21"/>
                <w:highlight w:val="none"/>
                <w:lang w:val="en-US" w:eastAsia="zh-CN"/>
              </w:rPr>
              <w:t>2</w:t>
            </w:r>
            <w:r>
              <w:rPr>
                <w:rFonts w:hint="eastAsia" w:ascii="宋体" w:hAnsi="宋体"/>
                <w:szCs w:val="21"/>
                <w:highlight w:val="none"/>
              </w:rPr>
              <w:t>条的要求，否则由评标委员会作否决投标处理。</w:t>
            </w:r>
          </w:p>
        </w:tc>
      </w:tr>
      <w:tr w14:paraId="7CBD13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C4197E">
            <w:pPr>
              <w:spacing w:line="400" w:lineRule="exact"/>
              <w:jc w:val="center"/>
              <w:rPr>
                <w:rFonts w:hint="eastAsia" w:ascii="宋体" w:hAnsi="宋体"/>
                <w:szCs w:val="21"/>
                <w:highlight w:val="none"/>
              </w:rPr>
            </w:pPr>
          </w:p>
        </w:tc>
        <w:tc>
          <w:tcPr>
            <w:tcW w:w="1899" w:type="dxa"/>
            <w:vMerge w:val="continue"/>
            <w:vAlign w:val="center"/>
          </w:tcPr>
          <w:p w14:paraId="5D6D2715">
            <w:pPr>
              <w:spacing w:line="400" w:lineRule="exact"/>
              <w:jc w:val="center"/>
              <w:rPr>
                <w:rFonts w:hint="eastAsia" w:ascii="宋体" w:hAnsi="宋体"/>
                <w:szCs w:val="21"/>
                <w:highlight w:val="none"/>
              </w:rPr>
            </w:pPr>
          </w:p>
        </w:tc>
        <w:tc>
          <w:tcPr>
            <w:tcW w:w="6333" w:type="dxa"/>
            <w:vAlign w:val="center"/>
          </w:tcPr>
          <w:p w14:paraId="1AE2E4D6">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4</w:t>
            </w:r>
            <w:r>
              <w:rPr>
                <w:rFonts w:hint="eastAsia" w:ascii="宋体" w:hAnsi="宋体"/>
                <w:szCs w:val="21"/>
                <w:highlight w:val="none"/>
              </w:rPr>
              <w:t>投标人的项目经理资格须满足投标人须知前附表1.4.1项第</w:t>
            </w:r>
            <w:r>
              <w:rPr>
                <w:rFonts w:hint="eastAsia" w:ascii="宋体" w:hAnsi="宋体"/>
                <w:szCs w:val="21"/>
                <w:highlight w:val="none"/>
                <w:lang w:val="en-US" w:eastAsia="zh-CN"/>
              </w:rPr>
              <w:t>3</w:t>
            </w:r>
            <w:r>
              <w:rPr>
                <w:rFonts w:hint="eastAsia" w:ascii="宋体" w:hAnsi="宋体"/>
                <w:szCs w:val="21"/>
                <w:highlight w:val="none"/>
              </w:rPr>
              <w:t>条的要求，否则由评标委员会作否决投标处理。</w:t>
            </w:r>
          </w:p>
        </w:tc>
      </w:tr>
      <w:tr w14:paraId="768438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A547CD">
            <w:pPr>
              <w:spacing w:line="400" w:lineRule="exact"/>
              <w:jc w:val="center"/>
              <w:rPr>
                <w:rFonts w:hint="eastAsia" w:ascii="宋体" w:hAnsi="宋体"/>
                <w:szCs w:val="21"/>
                <w:highlight w:val="none"/>
              </w:rPr>
            </w:pPr>
          </w:p>
        </w:tc>
        <w:tc>
          <w:tcPr>
            <w:tcW w:w="1899" w:type="dxa"/>
            <w:vMerge w:val="continue"/>
            <w:vAlign w:val="center"/>
          </w:tcPr>
          <w:p w14:paraId="79833985">
            <w:pPr>
              <w:spacing w:line="400" w:lineRule="exact"/>
              <w:jc w:val="center"/>
              <w:rPr>
                <w:rFonts w:hint="eastAsia" w:ascii="宋体" w:hAnsi="宋体"/>
                <w:szCs w:val="21"/>
                <w:highlight w:val="none"/>
              </w:rPr>
            </w:pPr>
          </w:p>
        </w:tc>
        <w:tc>
          <w:tcPr>
            <w:tcW w:w="6333" w:type="dxa"/>
            <w:vAlign w:val="center"/>
          </w:tcPr>
          <w:p w14:paraId="3BA4A6C6">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5</w:t>
            </w:r>
            <w:r>
              <w:rPr>
                <w:rFonts w:hint="eastAsia" w:ascii="宋体" w:hAnsi="宋体"/>
                <w:szCs w:val="21"/>
                <w:highlight w:val="none"/>
              </w:rPr>
              <w:t>投标人的其他要求须满足投标人须知前附表1.4.1项第</w:t>
            </w:r>
            <w:r>
              <w:rPr>
                <w:rFonts w:hint="eastAsia" w:ascii="宋体" w:hAnsi="宋体"/>
                <w:szCs w:val="21"/>
                <w:highlight w:val="none"/>
                <w:lang w:val="en-US" w:eastAsia="zh-CN"/>
              </w:rPr>
              <w:t>4</w:t>
            </w:r>
            <w:r>
              <w:rPr>
                <w:rFonts w:hint="eastAsia" w:ascii="宋体" w:hAnsi="宋体"/>
                <w:szCs w:val="21"/>
                <w:highlight w:val="none"/>
              </w:rPr>
              <w:t>条的要求，否则由评标委员会作否决投标处理。</w:t>
            </w:r>
          </w:p>
        </w:tc>
      </w:tr>
      <w:tr w14:paraId="3661B5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F9C90B">
            <w:pPr>
              <w:spacing w:line="400" w:lineRule="exact"/>
              <w:jc w:val="center"/>
              <w:rPr>
                <w:rFonts w:hint="eastAsia" w:ascii="宋体" w:hAnsi="宋体"/>
                <w:szCs w:val="21"/>
                <w:highlight w:val="none"/>
              </w:rPr>
            </w:pPr>
          </w:p>
        </w:tc>
        <w:tc>
          <w:tcPr>
            <w:tcW w:w="1899" w:type="dxa"/>
            <w:vMerge w:val="restart"/>
            <w:vAlign w:val="center"/>
          </w:tcPr>
          <w:p w14:paraId="4A35C254">
            <w:pPr>
              <w:spacing w:line="400" w:lineRule="exact"/>
              <w:jc w:val="center"/>
              <w:rPr>
                <w:rFonts w:hint="eastAsia" w:ascii="宋体" w:hAnsi="宋体"/>
                <w:szCs w:val="21"/>
                <w:highlight w:val="none"/>
              </w:rPr>
            </w:pPr>
            <w:r>
              <w:rPr>
                <w:rFonts w:hint="eastAsia" w:ascii="宋体" w:hAnsi="宋体"/>
                <w:szCs w:val="21"/>
                <w:highlight w:val="none"/>
              </w:rPr>
              <w:t>响应性评审</w:t>
            </w:r>
          </w:p>
        </w:tc>
        <w:tc>
          <w:tcPr>
            <w:tcW w:w="6333" w:type="dxa"/>
            <w:vAlign w:val="center"/>
          </w:tcPr>
          <w:p w14:paraId="3416B326">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16</w:t>
            </w:r>
            <w:r>
              <w:rPr>
                <w:rFonts w:hint="eastAsia" w:ascii="宋体" w:hAnsi="宋体"/>
                <w:szCs w:val="21"/>
                <w:highlight w:val="none"/>
              </w:rPr>
              <w:t>投标内容符合第二章“投标人须知”第1.3.1项规定，否则由评标委员会作否决投标处理。</w:t>
            </w:r>
          </w:p>
        </w:tc>
      </w:tr>
      <w:tr w14:paraId="165474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081DF4">
            <w:pPr>
              <w:spacing w:line="400" w:lineRule="exact"/>
              <w:jc w:val="center"/>
              <w:rPr>
                <w:rFonts w:hint="eastAsia" w:ascii="宋体" w:hAnsi="宋体"/>
                <w:szCs w:val="21"/>
                <w:highlight w:val="none"/>
              </w:rPr>
            </w:pPr>
          </w:p>
        </w:tc>
        <w:tc>
          <w:tcPr>
            <w:tcW w:w="1899" w:type="dxa"/>
            <w:vMerge w:val="continue"/>
            <w:vAlign w:val="center"/>
          </w:tcPr>
          <w:p w14:paraId="6F80EC8D">
            <w:pPr>
              <w:spacing w:line="400" w:lineRule="exact"/>
              <w:jc w:val="center"/>
              <w:rPr>
                <w:rFonts w:hint="eastAsia" w:ascii="宋体" w:hAnsi="宋体"/>
                <w:szCs w:val="21"/>
                <w:highlight w:val="none"/>
              </w:rPr>
            </w:pPr>
          </w:p>
        </w:tc>
        <w:tc>
          <w:tcPr>
            <w:tcW w:w="6333" w:type="dxa"/>
            <w:vAlign w:val="center"/>
          </w:tcPr>
          <w:p w14:paraId="68BD8C25">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17</w:t>
            </w:r>
            <w:r>
              <w:rPr>
                <w:rFonts w:hint="eastAsia" w:ascii="宋体" w:hAnsi="宋体"/>
                <w:szCs w:val="21"/>
                <w:highlight w:val="none"/>
              </w:rPr>
              <w:t>工期符合第二章“投标人须知”第1.3.2项规定，否则由评标委员会作否决投标处理。</w:t>
            </w:r>
          </w:p>
        </w:tc>
      </w:tr>
      <w:tr w14:paraId="0733F7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1A0E9B">
            <w:pPr>
              <w:spacing w:line="400" w:lineRule="exact"/>
              <w:jc w:val="center"/>
              <w:rPr>
                <w:rFonts w:hint="eastAsia" w:ascii="宋体" w:hAnsi="宋体"/>
                <w:szCs w:val="21"/>
                <w:highlight w:val="none"/>
              </w:rPr>
            </w:pPr>
          </w:p>
        </w:tc>
        <w:tc>
          <w:tcPr>
            <w:tcW w:w="1899" w:type="dxa"/>
            <w:vMerge w:val="continue"/>
            <w:vAlign w:val="center"/>
          </w:tcPr>
          <w:p w14:paraId="1056EF7E">
            <w:pPr>
              <w:spacing w:line="400" w:lineRule="exact"/>
              <w:jc w:val="center"/>
              <w:rPr>
                <w:rFonts w:hint="eastAsia" w:ascii="宋体" w:hAnsi="宋体"/>
                <w:szCs w:val="21"/>
                <w:highlight w:val="none"/>
              </w:rPr>
            </w:pPr>
          </w:p>
        </w:tc>
        <w:tc>
          <w:tcPr>
            <w:tcW w:w="6333" w:type="dxa"/>
            <w:vAlign w:val="center"/>
          </w:tcPr>
          <w:p w14:paraId="717636CC">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18</w:t>
            </w:r>
            <w:r>
              <w:rPr>
                <w:rFonts w:hint="eastAsia" w:ascii="宋体" w:hAnsi="宋体"/>
                <w:szCs w:val="21"/>
                <w:highlight w:val="none"/>
              </w:rPr>
              <w:t>工程质量符合第二章“投标人须知”第1.3.3项规定，否则由评标委员会作否决投标处理。</w:t>
            </w:r>
          </w:p>
        </w:tc>
      </w:tr>
      <w:tr w14:paraId="463258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76AF5D">
            <w:pPr>
              <w:spacing w:line="400" w:lineRule="exact"/>
              <w:jc w:val="center"/>
              <w:rPr>
                <w:rFonts w:hint="eastAsia" w:ascii="宋体" w:hAnsi="宋体"/>
                <w:szCs w:val="21"/>
                <w:highlight w:val="none"/>
              </w:rPr>
            </w:pPr>
          </w:p>
        </w:tc>
        <w:tc>
          <w:tcPr>
            <w:tcW w:w="1899" w:type="dxa"/>
            <w:vMerge w:val="continue"/>
            <w:vAlign w:val="center"/>
          </w:tcPr>
          <w:p w14:paraId="0D6770F8">
            <w:pPr>
              <w:spacing w:line="400" w:lineRule="exact"/>
              <w:jc w:val="center"/>
              <w:rPr>
                <w:rFonts w:hint="eastAsia" w:ascii="宋体" w:hAnsi="宋体"/>
                <w:szCs w:val="21"/>
                <w:highlight w:val="none"/>
              </w:rPr>
            </w:pPr>
          </w:p>
        </w:tc>
        <w:tc>
          <w:tcPr>
            <w:tcW w:w="6333" w:type="dxa"/>
            <w:vAlign w:val="center"/>
          </w:tcPr>
          <w:p w14:paraId="3081F28F">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19</w:t>
            </w:r>
            <w:r>
              <w:rPr>
                <w:rFonts w:hint="eastAsia" w:ascii="宋体" w:hAnsi="宋体"/>
                <w:szCs w:val="21"/>
                <w:highlight w:val="none"/>
              </w:rPr>
              <w:t>投标有效期符合第二章“投标人须知”第3.3.1项规定，否则由评标委员会作否决投标处理。</w:t>
            </w:r>
          </w:p>
        </w:tc>
      </w:tr>
      <w:tr w14:paraId="343799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BBEAB1">
            <w:pPr>
              <w:spacing w:line="400" w:lineRule="exact"/>
              <w:jc w:val="center"/>
              <w:rPr>
                <w:rFonts w:hint="eastAsia" w:ascii="宋体" w:hAnsi="宋体"/>
                <w:szCs w:val="21"/>
                <w:highlight w:val="none"/>
              </w:rPr>
            </w:pPr>
          </w:p>
        </w:tc>
        <w:tc>
          <w:tcPr>
            <w:tcW w:w="1899" w:type="dxa"/>
            <w:vMerge w:val="continue"/>
            <w:vAlign w:val="center"/>
          </w:tcPr>
          <w:p w14:paraId="7849C9A7">
            <w:pPr>
              <w:spacing w:line="400" w:lineRule="exact"/>
              <w:jc w:val="center"/>
              <w:rPr>
                <w:rFonts w:hint="eastAsia" w:ascii="宋体" w:hAnsi="宋体"/>
                <w:szCs w:val="21"/>
                <w:highlight w:val="none"/>
              </w:rPr>
            </w:pPr>
          </w:p>
        </w:tc>
        <w:tc>
          <w:tcPr>
            <w:tcW w:w="6333" w:type="dxa"/>
            <w:vAlign w:val="center"/>
          </w:tcPr>
          <w:p w14:paraId="570A5E40">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20</w:t>
            </w:r>
            <w:r>
              <w:rPr>
                <w:rFonts w:hint="eastAsia" w:ascii="宋体" w:hAnsi="宋体"/>
                <w:szCs w:val="21"/>
                <w:highlight w:val="none"/>
              </w:rPr>
              <w:t>投标报价有算术错误的，评标委员会按</w:t>
            </w:r>
            <w:r>
              <w:rPr>
                <w:rFonts w:hint="eastAsia" w:ascii="宋体" w:hAnsi="宋体"/>
                <w:szCs w:val="21"/>
                <w:highlight w:val="none"/>
                <w:lang w:eastAsia="zh-CN"/>
              </w:rPr>
              <w:t>比选文件</w:t>
            </w:r>
            <w:r>
              <w:rPr>
                <w:rFonts w:hint="eastAsia" w:ascii="宋体" w:hAnsi="宋体"/>
                <w:szCs w:val="21"/>
                <w:highlight w:val="none"/>
              </w:rPr>
              <w:t>规定的原则对投标报价进行修正，修正的价格经投标人书面确认后具有约束力。投标人不接受修正价格的，其投标由评标委员会作否决投标处理。</w:t>
            </w:r>
          </w:p>
        </w:tc>
      </w:tr>
      <w:tr w14:paraId="755C9E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B277F1">
            <w:pPr>
              <w:spacing w:line="400" w:lineRule="exact"/>
              <w:jc w:val="center"/>
              <w:rPr>
                <w:rFonts w:hint="eastAsia" w:ascii="宋体" w:hAnsi="宋体"/>
                <w:szCs w:val="21"/>
                <w:highlight w:val="none"/>
              </w:rPr>
            </w:pPr>
          </w:p>
        </w:tc>
        <w:tc>
          <w:tcPr>
            <w:tcW w:w="1899" w:type="dxa"/>
            <w:vMerge w:val="continue"/>
            <w:vAlign w:val="center"/>
          </w:tcPr>
          <w:p w14:paraId="75AB71F0">
            <w:pPr>
              <w:spacing w:line="400" w:lineRule="exact"/>
              <w:jc w:val="center"/>
              <w:rPr>
                <w:rFonts w:hint="eastAsia" w:ascii="宋体" w:hAnsi="宋体"/>
                <w:szCs w:val="21"/>
                <w:highlight w:val="none"/>
              </w:rPr>
            </w:pPr>
          </w:p>
        </w:tc>
        <w:tc>
          <w:tcPr>
            <w:tcW w:w="6333" w:type="dxa"/>
            <w:vAlign w:val="center"/>
          </w:tcPr>
          <w:p w14:paraId="7B14BF42">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21</w:t>
            </w:r>
            <w:r>
              <w:rPr>
                <w:rFonts w:hint="eastAsia" w:ascii="宋体" w:hAnsi="宋体"/>
                <w:szCs w:val="21"/>
                <w:highlight w:val="none"/>
              </w:rPr>
              <w:t>不得有涉嫌串通投标、弄虚作假等违反招投标相关法律、法规的行为，否则由评标委员会作否决投标处理。</w:t>
            </w:r>
          </w:p>
        </w:tc>
      </w:tr>
      <w:tr w14:paraId="1AADDC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FB175DA">
            <w:pPr>
              <w:spacing w:line="400" w:lineRule="exact"/>
              <w:jc w:val="center"/>
              <w:rPr>
                <w:rFonts w:hint="eastAsia" w:ascii="宋体" w:hAnsi="宋体"/>
                <w:szCs w:val="21"/>
                <w:highlight w:val="none"/>
              </w:rPr>
            </w:pPr>
          </w:p>
        </w:tc>
        <w:tc>
          <w:tcPr>
            <w:tcW w:w="1899" w:type="dxa"/>
            <w:vMerge w:val="continue"/>
            <w:vAlign w:val="center"/>
          </w:tcPr>
          <w:p w14:paraId="2CB56411">
            <w:pPr>
              <w:spacing w:line="400" w:lineRule="exact"/>
              <w:jc w:val="center"/>
              <w:rPr>
                <w:rFonts w:hint="eastAsia" w:ascii="宋体" w:hAnsi="宋体"/>
                <w:szCs w:val="21"/>
                <w:highlight w:val="none"/>
              </w:rPr>
            </w:pPr>
          </w:p>
        </w:tc>
        <w:tc>
          <w:tcPr>
            <w:tcW w:w="6333" w:type="dxa"/>
            <w:vAlign w:val="center"/>
          </w:tcPr>
          <w:p w14:paraId="292F4DA2">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22</w:t>
            </w:r>
            <w:r>
              <w:rPr>
                <w:rFonts w:hint="eastAsia" w:ascii="宋体" w:hAnsi="宋体"/>
                <w:szCs w:val="21"/>
                <w:highlight w:val="none"/>
              </w:rPr>
              <w:t>投标人有以下情形之一的，其投标文件由评标委员会</w:t>
            </w:r>
            <w:r>
              <w:rPr>
                <w:rFonts w:ascii="宋体" w:hAnsi="宋体"/>
                <w:szCs w:val="21"/>
                <w:highlight w:val="none"/>
              </w:rPr>
              <w:t>作否决投标处理</w:t>
            </w:r>
            <w:r>
              <w:rPr>
                <w:rFonts w:hint="eastAsia" w:ascii="宋体" w:hAnsi="宋体"/>
                <w:szCs w:val="21"/>
                <w:highlight w:val="none"/>
              </w:rPr>
              <w:t>：</w:t>
            </w:r>
          </w:p>
          <w:p w14:paraId="488478D6">
            <w:pPr>
              <w:spacing w:line="400" w:lineRule="exact"/>
              <w:ind w:firstLine="420" w:firstLineChars="200"/>
              <w:rPr>
                <w:rFonts w:ascii="宋体" w:hAnsi="宋体"/>
                <w:szCs w:val="21"/>
                <w:highlight w:val="none"/>
              </w:rPr>
            </w:pPr>
            <w:r>
              <w:rPr>
                <w:rFonts w:hint="eastAsia" w:ascii="宋体" w:hAnsi="宋体"/>
                <w:szCs w:val="21"/>
                <w:highlight w:val="none"/>
              </w:rPr>
              <w:t>1.第二章“投标人须知”第1.4.3项规定的任何一种情形：</w:t>
            </w:r>
          </w:p>
          <w:p w14:paraId="1E2D7840">
            <w:pPr>
              <w:spacing w:line="400" w:lineRule="exact"/>
              <w:ind w:firstLine="420" w:firstLineChars="200"/>
              <w:rPr>
                <w:rFonts w:ascii="宋体" w:hAnsi="宋体"/>
                <w:szCs w:val="21"/>
                <w:highlight w:val="none"/>
              </w:rPr>
            </w:pPr>
            <w:r>
              <w:rPr>
                <w:rFonts w:hint="eastAsia" w:ascii="宋体" w:hAnsi="宋体"/>
                <w:szCs w:val="21"/>
                <w:highlight w:val="none"/>
              </w:rPr>
              <w:t>（1）与</w:t>
            </w:r>
            <w:r>
              <w:rPr>
                <w:rFonts w:hint="eastAsia" w:ascii="宋体" w:hAnsi="宋体"/>
                <w:szCs w:val="21"/>
                <w:highlight w:val="none"/>
                <w:lang w:eastAsia="zh-CN"/>
              </w:rPr>
              <w:t>比选人</w:t>
            </w:r>
            <w:r>
              <w:rPr>
                <w:rFonts w:hint="eastAsia" w:ascii="宋体" w:hAnsi="宋体"/>
                <w:szCs w:val="21"/>
                <w:highlight w:val="none"/>
              </w:rPr>
              <w:t>存在利害关系可能影响招标公正性的法人、其他组织或者个人；</w:t>
            </w:r>
          </w:p>
          <w:p w14:paraId="4DE1400C">
            <w:pPr>
              <w:spacing w:line="400" w:lineRule="exact"/>
              <w:ind w:firstLine="420" w:firstLineChars="200"/>
              <w:rPr>
                <w:rFonts w:ascii="宋体" w:hAnsi="宋体"/>
                <w:szCs w:val="21"/>
                <w:highlight w:val="none"/>
              </w:rPr>
            </w:pPr>
            <w:r>
              <w:rPr>
                <w:rFonts w:hint="eastAsia" w:ascii="宋体" w:hAnsi="宋体"/>
                <w:szCs w:val="21"/>
                <w:highlight w:val="none"/>
              </w:rPr>
              <w:t>（2）为本标段前期准备提供设计或咨询服务的，但设计施工总承包的除外；</w:t>
            </w:r>
          </w:p>
          <w:p w14:paraId="282CBD5C">
            <w:pPr>
              <w:spacing w:line="400" w:lineRule="exact"/>
              <w:ind w:firstLine="420" w:firstLineChars="200"/>
              <w:rPr>
                <w:rFonts w:ascii="宋体" w:hAnsi="宋体"/>
                <w:szCs w:val="21"/>
                <w:highlight w:val="none"/>
              </w:rPr>
            </w:pPr>
            <w:r>
              <w:rPr>
                <w:rFonts w:hint="eastAsia" w:ascii="宋体" w:hAnsi="宋体"/>
                <w:szCs w:val="21"/>
                <w:highlight w:val="none"/>
              </w:rPr>
              <w:t>（3）为本标段的监理人；</w:t>
            </w:r>
          </w:p>
          <w:p w14:paraId="3440A037">
            <w:pPr>
              <w:spacing w:line="400" w:lineRule="exact"/>
              <w:ind w:firstLine="420" w:firstLineChars="200"/>
              <w:rPr>
                <w:rFonts w:ascii="宋体" w:hAnsi="宋体"/>
                <w:szCs w:val="21"/>
                <w:highlight w:val="none"/>
              </w:rPr>
            </w:pPr>
            <w:r>
              <w:rPr>
                <w:rFonts w:hint="eastAsia" w:ascii="宋体" w:hAnsi="宋体"/>
                <w:szCs w:val="21"/>
                <w:highlight w:val="none"/>
              </w:rPr>
              <w:t>（4）为本标段的代建人；</w:t>
            </w:r>
          </w:p>
          <w:p w14:paraId="7796107B">
            <w:pPr>
              <w:spacing w:line="400" w:lineRule="exact"/>
              <w:ind w:firstLine="420" w:firstLineChars="200"/>
              <w:rPr>
                <w:rFonts w:ascii="宋体" w:hAnsi="宋体"/>
                <w:szCs w:val="21"/>
                <w:highlight w:val="none"/>
              </w:rPr>
            </w:pPr>
            <w:r>
              <w:rPr>
                <w:rFonts w:hint="eastAsia" w:ascii="宋体" w:hAnsi="宋体"/>
                <w:szCs w:val="21"/>
                <w:highlight w:val="none"/>
              </w:rPr>
              <w:t>（5）为本标段提供招标代理服务的；</w:t>
            </w:r>
          </w:p>
          <w:p w14:paraId="2DB32BFF">
            <w:pPr>
              <w:spacing w:line="400" w:lineRule="exact"/>
              <w:ind w:firstLine="420" w:firstLineChars="200"/>
              <w:rPr>
                <w:rFonts w:ascii="宋体" w:hAnsi="宋体"/>
                <w:szCs w:val="21"/>
                <w:highlight w:val="none"/>
              </w:rPr>
            </w:pPr>
            <w:r>
              <w:rPr>
                <w:rFonts w:hint="eastAsia" w:ascii="宋体" w:hAnsi="宋体"/>
                <w:szCs w:val="21"/>
                <w:highlight w:val="none"/>
              </w:rPr>
              <w:t>（6）与本标段的监理人或代建人或招标代理机构同为一个法定代表人的；</w:t>
            </w:r>
          </w:p>
          <w:p w14:paraId="40107B49">
            <w:pPr>
              <w:spacing w:line="400" w:lineRule="exact"/>
              <w:ind w:firstLine="420" w:firstLineChars="200"/>
              <w:rPr>
                <w:rFonts w:ascii="宋体" w:hAnsi="宋体"/>
                <w:szCs w:val="21"/>
                <w:highlight w:val="none"/>
              </w:rPr>
            </w:pPr>
            <w:r>
              <w:rPr>
                <w:rFonts w:hint="eastAsia" w:ascii="宋体" w:hAnsi="宋体"/>
                <w:szCs w:val="21"/>
                <w:highlight w:val="none"/>
              </w:rPr>
              <w:t>（7）与本标段的监理人或代建人或招标代理机构相互控股或参股的；</w:t>
            </w:r>
          </w:p>
          <w:p w14:paraId="388C88EE">
            <w:pPr>
              <w:spacing w:line="400" w:lineRule="exact"/>
              <w:ind w:firstLine="420" w:firstLineChars="200"/>
              <w:rPr>
                <w:rFonts w:ascii="宋体" w:hAnsi="宋体"/>
                <w:szCs w:val="21"/>
                <w:highlight w:val="none"/>
              </w:rPr>
            </w:pPr>
            <w:r>
              <w:rPr>
                <w:rFonts w:hint="eastAsia" w:ascii="宋体" w:hAnsi="宋体"/>
                <w:szCs w:val="21"/>
                <w:highlight w:val="none"/>
              </w:rPr>
              <w:t>（8）与本标段的监理人或代建人或招标代理机构相互任职或工作的；</w:t>
            </w:r>
          </w:p>
          <w:p w14:paraId="1A983494">
            <w:pPr>
              <w:spacing w:line="400" w:lineRule="exact"/>
              <w:ind w:firstLine="420" w:firstLineChars="200"/>
              <w:rPr>
                <w:rFonts w:ascii="宋体" w:hAnsi="宋体"/>
                <w:szCs w:val="21"/>
                <w:highlight w:val="none"/>
              </w:rPr>
            </w:pPr>
            <w:r>
              <w:rPr>
                <w:rFonts w:hint="eastAsia" w:ascii="宋体" w:hAnsi="宋体"/>
                <w:szCs w:val="21"/>
                <w:highlight w:val="none"/>
              </w:rPr>
              <w:t>（9）被责令停业的；</w:t>
            </w:r>
          </w:p>
          <w:p w14:paraId="2F2CD028">
            <w:pPr>
              <w:spacing w:line="400" w:lineRule="exact"/>
              <w:ind w:firstLine="420" w:firstLineChars="200"/>
              <w:rPr>
                <w:rFonts w:ascii="宋体" w:hAnsi="宋体"/>
                <w:szCs w:val="21"/>
                <w:highlight w:val="none"/>
              </w:rPr>
            </w:pPr>
            <w:r>
              <w:rPr>
                <w:rFonts w:hint="eastAsia" w:ascii="宋体" w:hAnsi="宋体"/>
                <w:szCs w:val="21"/>
                <w:highlight w:val="none"/>
              </w:rPr>
              <w:t>（10）被暂停或取消投标资格的；</w:t>
            </w:r>
          </w:p>
          <w:p w14:paraId="4F3699D3">
            <w:pPr>
              <w:spacing w:line="400" w:lineRule="exact"/>
              <w:ind w:firstLine="420" w:firstLineChars="200"/>
              <w:rPr>
                <w:rFonts w:ascii="宋体" w:hAnsi="宋体"/>
                <w:szCs w:val="21"/>
                <w:highlight w:val="none"/>
              </w:rPr>
            </w:pPr>
            <w:r>
              <w:rPr>
                <w:rFonts w:hint="eastAsia" w:ascii="宋体" w:hAnsi="宋体"/>
                <w:szCs w:val="21"/>
                <w:highlight w:val="none"/>
              </w:rPr>
              <w:t>（11）财产被接管或冻结的；</w:t>
            </w:r>
          </w:p>
          <w:p w14:paraId="72D6DEEE">
            <w:pPr>
              <w:spacing w:line="400" w:lineRule="exact"/>
              <w:ind w:firstLine="420" w:firstLineChars="200"/>
              <w:rPr>
                <w:rFonts w:ascii="宋体" w:hAnsi="宋体"/>
                <w:szCs w:val="21"/>
                <w:highlight w:val="none"/>
              </w:rPr>
            </w:pPr>
            <w:r>
              <w:rPr>
                <w:rFonts w:hint="eastAsia" w:ascii="宋体" w:hAnsi="宋体"/>
                <w:szCs w:val="21"/>
                <w:highlight w:val="none"/>
              </w:rPr>
              <w:t>（12）单位负责人为同一人或者存在控股、管理关系的不同单位，不得在同一标段中同时投标。</w:t>
            </w:r>
          </w:p>
          <w:p w14:paraId="1F18B23D">
            <w:pPr>
              <w:spacing w:line="400" w:lineRule="exact"/>
              <w:ind w:firstLine="420" w:firstLineChars="200"/>
              <w:rPr>
                <w:rFonts w:hint="eastAsia" w:ascii="宋体" w:hAnsi="宋体"/>
                <w:szCs w:val="21"/>
                <w:highlight w:val="none"/>
              </w:rPr>
            </w:pPr>
            <w:r>
              <w:rPr>
                <w:rFonts w:hint="eastAsia" w:ascii="宋体" w:hAnsi="宋体"/>
                <w:szCs w:val="21"/>
                <w:highlight w:val="none"/>
              </w:rPr>
              <w:t>2.不按评标委员会要求澄清、说明或补正的。</w:t>
            </w:r>
          </w:p>
        </w:tc>
      </w:tr>
    </w:tbl>
    <w:p w14:paraId="100018C6">
      <w:pPr>
        <w:rPr>
          <w:color w:val="auto"/>
          <w:highlight w:val="none"/>
        </w:rPr>
      </w:pPr>
    </w:p>
    <w:p w14:paraId="78C68D77">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5AB36FCB">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5AA84C7D">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69E4A48D">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7C19180A">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75BB55E6">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24D061C6">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7B36A927">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31904D06">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12CE8396">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63D33FE0">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7D83807E">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05D644BF">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5D6B4F3B">
      <w:pPr>
        <w:pStyle w:val="2"/>
        <w:rPr>
          <w:rFonts w:hint="eastAsia" w:ascii="宋体" w:hAnsi="宋体"/>
          <w:b/>
          <w:bCs/>
          <w:color w:val="auto"/>
          <w:kern w:val="0"/>
          <w:sz w:val="36"/>
          <w:szCs w:val="36"/>
          <w:highlight w:val="none"/>
        </w:rPr>
      </w:pPr>
    </w:p>
    <w:p w14:paraId="19125AEE">
      <w:pPr>
        <w:pStyle w:val="2"/>
        <w:rPr>
          <w:rFonts w:hint="eastAsia" w:ascii="宋体" w:hAnsi="宋体"/>
          <w:b/>
          <w:bCs/>
          <w:color w:val="auto"/>
          <w:kern w:val="0"/>
          <w:sz w:val="36"/>
          <w:szCs w:val="36"/>
          <w:highlight w:val="none"/>
        </w:rPr>
      </w:pPr>
    </w:p>
    <w:bookmarkEnd w:id="450"/>
    <w:bookmarkEnd w:id="451"/>
    <w:bookmarkEnd w:id="452"/>
    <w:bookmarkEnd w:id="453"/>
    <w:p w14:paraId="745FC895">
      <w:pPr>
        <w:pStyle w:val="4"/>
        <w:spacing w:line="360" w:lineRule="auto"/>
        <w:jc w:val="center"/>
        <w:rPr>
          <w:rFonts w:ascii="宋体" w:hAnsi="宋体"/>
          <w:kern w:val="0"/>
          <w:highlight w:val="none"/>
        </w:rPr>
      </w:pPr>
      <w:bookmarkStart w:id="467" w:name="_Toc27983309"/>
      <w:bookmarkStart w:id="468" w:name="_Toc31533"/>
      <w:bookmarkStart w:id="469" w:name="_Toc430530509"/>
      <w:bookmarkStart w:id="470" w:name="_Toc509218785"/>
      <w:r>
        <w:rPr>
          <w:rFonts w:hint="eastAsia" w:ascii="宋体" w:hAnsi="宋体"/>
          <w:kern w:val="0"/>
          <w:highlight w:val="none"/>
        </w:rPr>
        <w:t>第四章  合同条款及格式</w:t>
      </w:r>
      <w:bookmarkEnd w:id="467"/>
      <w:bookmarkEnd w:id="468"/>
      <w:bookmarkEnd w:id="469"/>
      <w:bookmarkEnd w:id="470"/>
    </w:p>
    <w:p w14:paraId="0475D4D8">
      <w:pPr>
        <w:rPr>
          <w:rFonts w:ascii="宋体" w:hAnsi="宋体"/>
          <w:sz w:val="44"/>
          <w:szCs w:val="44"/>
          <w:highlight w:val="none"/>
        </w:rPr>
      </w:pPr>
      <w:r>
        <w:rPr>
          <w:rFonts w:ascii="宋体" w:hAnsi="宋体"/>
          <w:highlight w:val="none"/>
        </w:rPr>
        <w:br w:type="page"/>
      </w:r>
      <w:bookmarkStart w:id="471" w:name="_Toc296890982"/>
      <w:bookmarkStart w:id="472" w:name="_Toc351203480"/>
      <w:bookmarkStart w:id="473" w:name="_Toc296503025"/>
    </w:p>
    <w:p w14:paraId="6BBE9204">
      <w:pPr>
        <w:jc w:val="left"/>
        <w:rPr>
          <w:rFonts w:ascii="Times New Roman" w:hAnsi="Times New Roman" w:eastAsia="仿宋_GB2312"/>
          <w:bCs/>
          <w:color w:val="000000"/>
          <w:sz w:val="32"/>
          <w:szCs w:val="32"/>
        </w:rPr>
      </w:pPr>
      <w:bookmarkStart w:id="474" w:name="_Toc351203632"/>
      <w:r>
        <w:rPr>
          <w:rFonts w:ascii="Times New Roman" w:hAnsi="Times New Roman" w:eastAsia="仿宋_GB2312"/>
          <w:bCs/>
          <w:color w:val="000000"/>
          <w:sz w:val="32"/>
          <w:szCs w:val="32"/>
        </w:rPr>
        <w:t>（GF—201</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0201</w:t>
      </w:r>
      <w:r>
        <w:rPr>
          <w:rFonts w:hint="eastAsia" w:ascii="Times New Roman" w:hAnsi="Times New Roman" w:eastAsia="仿宋_GB2312"/>
          <w:bCs/>
          <w:color w:val="000000"/>
          <w:sz w:val="32"/>
          <w:szCs w:val="32"/>
        </w:rPr>
        <w:t>）</w:t>
      </w:r>
    </w:p>
    <w:p w14:paraId="62EE1CA0">
      <w:pPr>
        <w:jc w:val="center"/>
        <w:rPr>
          <w:rFonts w:ascii="Times New Roman" w:hAnsi="Times New Roman" w:eastAsia="华文中宋"/>
          <w:b/>
          <w:color w:val="000000"/>
          <w:sz w:val="52"/>
          <w:szCs w:val="52"/>
        </w:rPr>
      </w:pPr>
    </w:p>
    <w:p w14:paraId="68DB02E3">
      <w:pPr>
        <w:jc w:val="center"/>
        <w:rPr>
          <w:rFonts w:ascii="Times New Roman" w:hAnsi="Times New Roman" w:eastAsia="华文中宋"/>
          <w:b/>
          <w:color w:val="000000"/>
          <w:sz w:val="52"/>
          <w:szCs w:val="52"/>
        </w:rPr>
      </w:pPr>
    </w:p>
    <w:p w14:paraId="77419151">
      <w:pPr>
        <w:jc w:val="center"/>
        <w:rPr>
          <w:rFonts w:ascii="Times New Roman" w:hAnsi="Times New Roman" w:eastAsia="华文中宋"/>
          <w:b/>
          <w:color w:val="000000"/>
          <w:sz w:val="52"/>
          <w:szCs w:val="52"/>
        </w:rPr>
      </w:pPr>
    </w:p>
    <w:p w14:paraId="2762EE8C">
      <w:pPr>
        <w:jc w:val="center"/>
        <w:rPr>
          <w:rFonts w:ascii="Times New Roman" w:hAnsi="Times New Roman" w:eastAsia="华文中宋"/>
          <w:b/>
          <w:color w:val="000000"/>
          <w:sz w:val="52"/>
          <w:szCs w:val="52"/>
        </w:rPr>
      </w:pPr>
    </w:p>
    <w:p w14:paraId="30630909">
      <w:pPr>
        <w:jc w:val="center"/>
        <w:rPr>
          <w:rFonts w:hint="eastAsia" w:ascii="Times New Roman" w:hAnsi="Times New Roman" w:eastAsia="华文中宋"/>
          <w:b/>
          <w:color w:val="000000"/>
          <w:sz w:val="72"/>
          <w:szCs w:val="52"/>
          <w:lang w:eastAsia="zh-CN"/>
        </w:rPr>
      </w:pPr>
      <w:r>
        <w:rPr>
          <w:rFonts w:ascii="Times New Roman" w:hAnsi="Times New Roman" w:eastAsia="华文中宋"/>
          <w:b/>
          <w:color w:val="000000"/>
          <w:sz w:val="72"/>
          <w:szCs w:val="52"/>
        </w:rPr>
        <w:t>建设工程施工合同</w:t>
      </w:r>
    </w:p>
    <w:p w14:paraId="41A1B8FB">
      <w:pPr>
        <w:jc w:val="center"/>
        <w:rPr>
          <w:rFonts w:ascii="Times New Roman" w:hAnsi="Times New Roman" w:eastAsia="华文中宋"/>
          <w:b/>
          <w:color w:val="000000"/>
          <w:sz w:val="52"/>
          <w:szCs w:val="52"/>
        </w:rPr>
      </w:pPr>
      <w:r>
        <w:rPr>
          <w:rFonts w:ascii="Times New Roman" w:hAnsi="Times New Roman" w:eastAsia="华文中宋"/>
          <w:b/>
          <w:color w:val="000000"/>
          <w:sz w:val="52"/>
          <w:szCs w:val="52"/>
        </w:rPr>
        <w:t>（示范文本）</w:t>
      </w:r>
    </w:p>
    <w:p w14:paraId="12A6043D">
      <w:pPr>
        <w:jc w:val="center"/>
        <w:rPr>
          <w:rFonts w:ascii="Times New Roman" w:hAnsi="Times New Roman" w:eastAsia="华文中宋"/>
          <w:b/>
          <w:color w:val="000000"/>
          <w:sz w:val="52"/>
          <w:szCs w:val="52"/>
        </w:rPr>
      </w:pPr>
    </w:p>
    <w:p w14:paraId="4E89C276">
      <w:pPr>
        <w:jc w:val="center"/>
        <w:rPr>
          <w:rFonts w:ascii="Times New Roman" w:hAnsi="Times New Roman" w:eastAsia="黑体"/>
          <w:b/>
          <w:color w:val="000000"/>
          <w:sz w:val="72"/>
          <w:szCs w:val="72"/>
        </w:rPr>
      </w:pPr>
    </w:p>
    <w:p w14:paraId="2420954F">
      <w:pPr>
        <w:jc w:val="center"/>
        <w:rPr>
          <w:rFonts w:ascii="Times New Roman" w:hAnsi="Times New Roman" w:eastAsia="楷体_GB2312"/>
          <w:b/>
          <w:color w:val="000000"/>
          <w:sz w:val="72"/>
          <w:szCs w:val="72"/>
        </w:rPr>
      </w:pPr>
    </w:p>
    <w:p w14:paraId="369B6FF9">
      <w:pPr>
        <w:jc w:val="center"/>
        <w:rPr>
          <w:rFonts w:ascii="Times New Roman" w:hAnsi="Times New Roman" w:eastAsia="黑体"/>
          <w:b/>
          <w:color w:val="000000"/>
          <w:sz w:val="52"/>
          <w:szCs w:val="52"/>
        </w:rPr>
      </w:pPr>
    </w:p>
    <w:p w14:paraId="2357AFFA">
      <w:pPr>
        <w:rPr>
          <w:rFonts w:ascii="Times New Roman" w:hAnsi="Times New Roman"/>
          <w:b/>
          <w:color w:val="000000"/>
          <w:sz w:val="28"/>
          <w:szCs w:val="28"/>
        </w:rPr>
      </w:pPr>
    </w:p>
    <w:p w14:paraId="1D6B0902">
      <w:pPr>
        <w:rPr>
          <w:rFonts w:ascii="Times New Roman" w:hAnsi="Times New Roman"/>
          <w:b/>
          <w:color w:val="000000"/>
          <w:sz w:val="28"/>
          <w:szCs w:val="28"/>
        </w:rPr>
      </w:pPr>
    </w:p>
    <w:p w14:paraId="1E78E062">
      <w:pPr>
        <w:rPr>
          <w:rFonts w:ascii="Times New Roman" w:hAnsi="Times New Roman"/>
          <w:b/>
          <w:color w:val="000000"/>
          <w:sz w:val="28"/>
          <w:szCs w:val="28"/>
        </w:rPr>
      </w:pPr>
    </w:p>
    <w:p w14:paraId="2BEAB47A">
      <w:pPr>
        <w:rPr>
          <w:rFonts w:ascii="Times New Roman" w:hAnsi="Times New Roman"/>
          <w:b/>
          <w:color w:val="000000"/>
          <w:sz w:val="28"/>
          <w:szCs w:val="28"/>
        </w:rPr>
      </w:pPr>
    </w:p>
    <w:p w14:paraId="6F4F23DC">
      <w:pPr>
        <w:rPr>
          <w:rFonts w:ascii="Times New Roman" w:hAnsi="Times New Roman"/>
          <w:b/>
          <w:color w:val="000000"/>
          <w:sz w:val="28"/>
          <w:szCs w:val="28"/>
        </w:rPr>
      </w:pPr>
    </w:p>
    <w:p w14:paraId="1B9DDAF3">
      <w:pPr>
        <w:ind w:right="2719" w:rightChars="1295" w:firstLine="2738" w:firstLineChars="1304"/>
        <w:jc w:val="distribute"/>
        <w:rPr>
          <w:rFonts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8255" b="825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4905DF3">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64905DF3">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14:paraId="1851C310">
      <w:pPr>
        <w:ind w:right="2719" w:rightChars="1295" w:firstLine="2750" w:firstLineChars="856"/>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502BF6FA">
      <w:pPr>
        <w:rPr>
          <w:rFonts w:ascii="Times New Roman" w:hAnsi="Times New Roman"/>
          <w:b/>
          <w:color w:val="000000"/>
        </w:rPr>
      </w:pPr>
    </w:p>
    <w:p w14:paraId="029F10E7">
      <w:pPr>
        <w:pStyle w:val="6"/>
        <w:jc w:val="both"/>
        <w:rPr>
          <w:rFonts w:ascii="Times New Roman" w:hAnsi="Times New Roman" w:eastAsia="仿宋_GB2312"/>
          <w:sz w:val="28"/>
          <w:szCs w:val="28"/>
        </w:rPr>
        <w:sectPr>
          <w:footerReference r:id="rId4" w:type="first"/>
          <w:footerReference r:id="rId3" w:type="default"/>
          <w:pgSz w:w="11906" w:h="16838"/>
          <w:pgMar w:top="1418" w:right="1555" w:bottom="1418" w:left="1531" w:header="851" w:footer="992" w:gutter="0"/>
          <w:pgNumType w:start="1"/>
          <w:cols w:space="720" w:num="1"/>
          <w:titlePg/>
          <w:docGrid w:type="lines" w:linePitch="312" w:charSpace="0"/>
        </w:sectPr>
      </w:pPr>
    </w:p>
    <w:p w14:paraId="600DC1F0">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14:paraId="50BC002C">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14:paraId="7535D394">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承包人（全称）：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14:paraId="63B38CDA">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lang w:val="en-US" w:eastAsia="zh-CN"/>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工程施工及有关事项协商一致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14:paraId="69E1E064">
      <w:pPr>
        <w:pStyle w:val="7"/>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75" w:name="_Toc351203481"/>
      <w:r>
        <w:rPr>
          <w:rFonts w:ascii="Times New Roman" w:hAnsi="Times New Roman" w:eastAsia="黑体"/>
          <w:b w:val="0"/>
          <w:color w:val="000000"/>
          <w:sz w:val="32"/>
          <w:szCs w:val="32"/>
        </w:rPr>
        <w:t>一、工程概况</w:t>
      </w:r>
      <w:bookmarkEnd w:id="475"/>
    </w:p>
    <w:p w14:paraId="28B42859">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64F9161C">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2.工程地点：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60808FEE">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3.工程立项批准文号：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14:paraId="06FAADBE">
      <w:pPr>
        <w:spacing w:line="360" w:lineRule="auto"/>
        <w:ind w:firstLine="588" w:firstLineChars="196"/>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4.资金来源：</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14:paraId="66050CE1">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5.工程内容：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14:paraId="1DBD4CEE">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6</w:t>
      </w:r>
      <w:r>
        <w:rPr>
          <w:rFonts w:ascii="Times New Roman" w:hAnsi="Times New Roman" w:eastAsia="仿宋_GB2312"/>
          <w:bCs/>
          <w:color w:val="000000"/>
          <w:sz w:val="30"/>
          <w:szCs w:val="30"/>
        </w:rPr>
        <w:t>.工程承包范围：</w:t>
      </w:r>
    </w:p>
    <w:p w14:paraId="696B527E">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w:t>
      </w:r>
    </w:p>
    <w:p w14:paraId="4A0A66DE">
      <w:pPr>
        <w:pStyle w:val="7"/>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476" w:name="_Toc351203482"/>
      <w:r>
        <w:rPr>
          <w:rFonts w:ascii="Times New Roman" w:hAnsi="Times New Roman" w:eastAsia="黑体"/>
          <w:b w:val="0"/>
          <w:color w:val="000000"/>
          <w:sz w:val="32"/>
          <w:szCs w:val="32"/>
        </w:rPr>
        <w:t>二、合同工期</w:t>
      </w:r>
      <w:bookmarkEnd w:id="476"/>
    </w:p>
    <w:p w14:paraId="5B56A9D5">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计划开工日期：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14:paraId="7BABE88B">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计划竣工日期：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14:paraId="7D35F9EC">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工期总日历天数：</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天。工期总日历天数与根据前述计划开竣工日期计算的工期天数不一致的，以工期总日历天数为准。</w:t>
      </w:r>
    </w:p>
    <w:p w14:paraId="4BDC866D">
      <w:pPr>
        <w:pStyle w:val="7"/>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77" w:name="_Toc351203483"/>
      <w:r>
        <w:rPr>
          <w:rFonts w:ascii="Times New Roman" w:hAnsi="Times New Roman" w:eastAsia="黑体"/>
          <w:b w:val="0"/>
          <w:color w:val="000000"/>
          <w:sz w:val="32"/>
          <w:szCs w:val="32"/>
        </w:rPr>
        <w:t>三、质量标准</w:t>
      </w:r>
      <w:bookmarkEnd w:id="477"/>
    </w:p>
    <w:p w14:paraId="79067BE2">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工程质量符合</w:t>
      </w:r>
      <w:r>
        <w:rPr>
          <w:rFonts w:hint="eastAsia" w:ascii="Times New Roman" w:hAnsi="Times New Roman" w:eastAsia="仿宋_GB2312"/>
          <w:color w:val="000000"/>
          <w:sz w:val="30"/>
          <w:szCs w:val="30"/>
        </w:rPr>
        <w:t>工程质量符合强制性质量标准，符合国家和重庆市现行有关施工质量验收规范要求，并达到合格</w:t>
      </w:r>
      <w:r>
        <w:rPr>
          <w:rFonts w:ascii="Times New Roman" w:hAnsi="Times New Roman" w:eastAsia="仿宋_GB2312"/>
          <w:color w:val="000000"/>
          <w:sz w:val="30"/>
          <w:szCs w:val="30"/>
        </w:rPr>
        <w:t>标准。</w:t>
      </w:r>
    </w:p>
    <w:p w14:paraId="557A3F50">
      <w:pPr>
        <w:pStyle w:val="7"/>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78" w:name="_Toc351203484"/>
      <w:r>
        <w:rPr>
          <w:rFonts w:ascii="Times New Roman" w:hAnsi="Times New Roman" w:eastAsia="黑体"/>
          <w:b w:val="0"/>
          <w:color w:val="000000"/>
          <w:sz w:val="32"/>
          <w:szCs w:val="32"/>
        </w:rPr>
        <w:t>四、签约合同价与合同价格形式</w:t>
      </w:r>
      <w:bookmarkEnd w:id="478"/>
      <w:r>
        <w:rPr>
          <w:rFonts w:ascii="Times New Roman" w:hAnsi="Times New Roman" w:eastAsia="黑体"/>
          <w:b w:val="0"/>
          <w:color w:val="000000"/>
          <w:sz w:val="32"/>
          <w:szCs w:val="32"/>
        </w:rPr>
        <w:tab/>
      </w:r>
    </w:p>
    <w:p w14:paraId="13DDAC5D">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1.签约合同价为：</w:t>
      </w:r>
    </w:p>
    <w:p w14:paraId="6F1D4055">
      <w:pPr>
        <w:spacing w:line="360" w:lineRule="auto"/>
        <w:ind w:firstLine="750" w:firstLineChars="2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1E1602F1">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其中：</w:t>
      </w:r>
    </w:p>
    <w:p w14:paraId="0DFCCA2C">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（1）安全文明施工费：</w:t>
      </w:r>
    </w:p>
    <w:p w14:paraId="50BD75F1">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79A1998E">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（2）材料和工程设备暂估价金额：</w:t>
      </w:r>
    </w:p>
    <w:p w14:paraId="77CFA07A">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65CB2227">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（3）专业工程暂估价金额：</w:t>
      </w:r>
    </w:p>
    <w:p w14:paraId="747347FB">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3A4C23C0">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（4）暂列金额：</w:t>
      </w:r>
    </w:p>
    <w:p w14:paraId="31FE6C3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140" w:line="500" w:lineRule="exact"/>
        <w:ind w:firstLine="1200" w:firstLineChars="400"/>
        <w:jc w:val="both"/>
        <w:textAlignment w:val="baseline"/>
        <w:outlineLvl w:val="9"/>
        <w:rPr>
          <w:rFonts w:hint="eastAsia" w:ascii="仿宋" w:hAnsi="仿宋" w:eastAsia="仿宋" w:cs="仿宋"/>
          <w:b w:val="0"/>
          <w:bCs/>
          <w:color w:val="auto"/>
          <w:spacing w:val="26"/>
          <w:sz w:val="28"/>
          <w:szCs w:val="28"/>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3024B56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140" w:line="500" w:lineRule="exact"/>
        <w:ind w:firstLine="600" w:firstLineChars="200"/>
        <w:jc w:val="both"/>
        <w:textAlignment w:val="baseline"/>
        <w:outlineLvl w:val="9"/>
        <w:rPr>
          <w:rFonts w:hint="eastAsia" w:ascii="仿宋" w:hAnsi="仿宋" w:eastAsia="仿宋" w:cs="仿宋"/>
          <w:b w:val="0"/>
          <w:bCs/>
          <w:color w:val="000000"/>
          <w:spacing w:val="26"/>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lang w:val="en-US" w:eastAsia="zh-CN"/>
        </w:rPr>
        <w:t>5</w:t>
      </w:r>
      <w:r>
        <w:rPr>
          <w:rFonts w:ascii="Times New Roman" w:hAnsi="Times New Roman" w:eastAsia="仿宋_GB2312"/>
          <w:color w:val="000000"/>
          <w:sz w:val="30"/>
          <w:szCs w:val="30"/>
        </w:rPr>
        <w:t>）</w:t>
      </w:r>
      <w:r>
        <w:rPr>
          <w:rFonts w:hint="eastAsia" w:ascii="仿宋" w:hAnsi="仿宋" w:eastAsia="仿宋" w:cs="仿宋"/>
          <w:b w:val="0"/>
          <w:bCs/>
          <w:color w:val="000000"/>
          <w:spacing w:val="26"/>
          <w:sz w:val="30"/>
          <w:szCs w:val="30"/>
        </w:rPr>
        <w:t>人工费</w:t>
      </w:r>
      <w:r>
        <w:rPr>
          <w:rFonts w:hint="eastAsia" w:ascii="仿宋" w:hAnsi="仿宋" w:eastAsia="仿宋" w:cs="仿宋"/>
          <w:b w:val="0"/>
          <w:bCs/>
          <w:color w:val="000000"/>
          <w:spacing w:val="26"/>
          <w:sz w:val="30"/>
          <w:szCs w:val="30"/>
          <w:lang w:eastAsia="zh-CN"/>
        </w:rPr>
        <w:t>（</w:t>
      </w:r>
      <w:r>
        <w:rPr>
          <w:rFonts w:hint="eastAsia" w:ascii="仿宋" w:hAnsi="仿宋" w:eastAsia="仿宋" w:cs="仿宋"/>
          <w:b w:val="0"/>
          <w:bCs/>
          <w:color w:val="000000"/>
          <w:spacing w:val="26"/>
          <w:sz w:val="30"/>
          <w:szCs w:val="30"/>
        </w:rPr>
        <w:t>工资款</w:t>
      </w:r>
      <w:r>
        <w:rPr>
          <w:rFonts w:hint="eastAsia" w:ascii="仿宋" w:hAnsi="仿宋" w:eastAsia="仿宋" w:cs="仿宋"/>
          <w:b w:val="0"/>
          <w:bCs/>
          <w:color w:val="000000"/>
          <w:spacing w:val="26"/>
          <w:sz w:val="30"/>
          <w:szCs w:val="30"/>
          <w:lang w:eastAsia="zh-CN"/>
        </w:rPr>
        <w:t>）</w:t>
      </w:r>
    </w:p>
    <w:p w14:paraId="4674AC2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140" w:line="500" w:lineRule="exact"/>
        <w:ind w:firstLine="584" w:firstLineChars="200"/>
        <w:jc w:val="both"/>
        <w:textAlignment w:val="baseline"/>
        <w:outlineLvl w:val="9"/>
        <w:rPr>
          <w:rFonts w:ascii="Times New Roman" w:hAnsi="Times New Roman" w:eastAsia="仿宋_GB2312"/>
          <w:color w:val="000000"/>
          <w:sz w:val="30"/>
          <w:szCs w:val="30"/>
        </w:rPr>
      </w:pPr>
      <w:r>
        <w:rPr>
          <w:rFonts w:hint="eastAsia" w:ascii="仿宋" w:hAnsi="仿宋" w:eastAsia="仿宋" w:cs="仿宋"/>
          <w:b w:val="0"/>
          <w:bCs/>
          <w:color w:val="000000"/>
          <w:spacing w:val="-4"/>
          <w:sz w:val="30"/>
          <w:szCs w:val="30"/>
        </w:rPr>
        <w:t>该项目实行人工费</w:t>
      </w:r>
      <w:r>
        <w:rPr>
          <w:rFonts w:hint="eastAsia" w:ascii="仿宋" w:hAnsi="仿宋" w:eastAsia="仿宋" w:cs="仿宋"/>
          <w:b w:val="0"/>
          <w:bCs/>
          <w:color w:val="000000"/>
          <w:spacing w:val="-4"/>
          <w:sz w:val="30"/>
          <w:szCs w:val="30"/>
          <w:lang w:eastAsia="zh-CN"/>
        </w:rPr>
        <w:t>（</w:t>
      </w:r>
      <w:r>
        <w:rPr>
          <w:rFonts w:hint="eastAsia" w:ascii="仿宋" w:hAnsi="仿宋" w:eastAsia="仿宋" w:cs="仿宋"/>
          <w:b w:val="0"/>
          <w:bCs/>
          <w:color w:val="000000"/>
          <w:spacing w:val="-4"/>
          <w:sz w:val="30"/>
          <w:szCs w:val="30"/>
        </w:rPr>
        <w:t>工资款</w:t>
      </w:r>
      <w:r>
        <w:rPr>
          <w:rFonts w:hint="eastAsia" w:ascii="仿宋" w:hAnsi="仿宋" w:eastAsia="仿宋" w:cs="仿宋"/>
          <w:b w:val="0"/>
          <w:bCs/>
          <w:color w:val="000000"/>
          <w:spacing w:val="-4"/>
          <w:sz w:val="30"/>
          <w:szCs w:val="30"/>
          <w:lang w:eastAsia="zh-CN"/>
        </w:rPr>
        <w:t>）</w:t>
      </w:r>
      <w:r>
        <w:rPr>
          <w:rFonts w:hint="eastAsia" w:ascii="仿宋" w:hAnsi="仿宋" w:eastAsia="仿宋" w:cs="仿宋"/>
          <w:b w:val="0"/>
          <w:bCs/>
          <w:color w:val="000000"/>
          <w:spacing w:val="-4"/>
          <w:sz w:val="30"/>
          <w:szCs w:val="30"/>
        </w:rPr>
        <w:t xml:space="preserve"> 与其他工</w:t>
      </w:r>
      <w:r>
        <w:rPr>
          <w:rFonts w:hint="eastAsia" w:ascii="仿宋" w:hAnsi="仿宋" w:eastAsia="仿宋" w:cs="仿宋"/>
          <w:b w:val="0"/>
          <w:bCs/>
          <w:color w:val="000000"/>
          <w:spacing w:val="-2"/>
          <w:sz w:val="30"/>
          <w:szCs w:val="30"/>
        </w:rPr>
        <w:t>程款分账管理，发包人将应付工程款中的人工费</w:t>
      </w:r>
      <w:r>
        <w:rPr>
          <w:rFonts w:hint="eastAsia" w:ascii="仿宋" w:hAnsi="仿宋" w:eastAsia="仿宋" w:cs="仿宋"/>
          <w:b w:val="0"/>
          <w:bCs/>
          <w:color w:val="000000"/>
          <w:spacing w:val="-2"/>
          <w:sz w:val="30"/>
          <w:szCs w:val="30"/>
          <w:lang w:eastAsia="zh-CN"/>
        </w:rPr>
        <w:t>（</w:t>
      </w:r>
      <w:r>
        <w:rPr>
          <w:rFonts w:hint="eastAsia" w:ascii="仿宋" w:hAnsi="仿宋" w:eastAsia="仿宋" w:cs="仿宋"/>
          <w:b w:val="0"/>
          <w:bCs/>
          <w:color w:val="000000"/>
          <w:spacing w:val="-2"/>
          <w:sz w:val="30"/>
          <w:szCs w:val="30"/>
        </w:rPr>
        <w:t>工资款</w:t>
      </w:r>
      <w:r>
        <w:rPr>
          <w:rFonts w:hint="eastAsia" w:ascii="仿宋" w:hAnsi="仿宋" w:eastAsia="仿宋" w:cs="仿宋"/>
          <w:b w:val="0"/>
          <w:bCs/>
          <w:color w:val="000000"/>
          <w:spacing w:val="-2"/>
          <w:sz w:val="30"/>
          <w:szCs w:val="30"/>
          <w:lang w:eastAsia="zh-CN"/>
        </w:rPr>
        <w:t>）</w:t>
      </w:r>
      <w:r>
        <w:rPr>
          <w:rFonts w:hint="eastAsia" w:ascii="仿宋" w:hAnsi="仿宋" w:eastAsia="仿宋" w:cs="仿宋"/>
          <w:b w:val="0"/>
          <w:bCs/>
          <w:color w:val="000000"/>
          <w:spacing w:val="-2"/>
          <w:sz w:val="30"/>
          <w:szCs w:val="30"/>
        </w:rPr>
        <w:t>，</w:t>
      </w:r>
      <w:r>
        <w:rPr>
          <w:rFonts w:hint="eastAsia" w:ascii="仿宋" w:hAnsi="仿宋" w:eastAsia="仿宋" w:cs="仿宋"/>
          <w:b w:val="0"/>
          <w:bCs/>
          <w:color w:val="000000"/>
          <w:spacing w:val="-5"/>
          <w:sz w:val="30"/>
          <w:szCs w:val="30"/>
        </w:rPr>
        <w:t>以</w:t>
      </w:r>
      <w:r>
        <w:rPr>
          <w:rFonts w:hint="eastAsia" w:ascii="仿宋" w:hAnsi="仿宋" w:eastAsia="仿宋" w:cs="仿宋"/>
          <w:b w:val="0"/>
          <w:bCs/>
          <w:color w:val="000000"/>
          <w:spacing w:val="-3"/>
          <w:sz w:val="30"/>
          <w:szCs w:val="30"/>
        </w:rPr>
        <w:t>不低于已完成合同价款的</w:t>
      </w:r>
      <w:r>
        <w:rPr>
          <w:rFonts w:hint="eastAsia" w:ascii="仿宋" w:hAnsi="仿宋" w:eastAsia="仿宋" w:cs="仿宋"/>
          <w:b w:val="0"/>
          <w:bCs/>
          <w:color w:val="000000"/>
          <w:spacing w:val="-3"/>
          <w:sz w:val="30"/>
          <w:szCs w:val="30"/>
          <w:u w:val="single" w:color="auto"/>
        </w:rPr>
        <w:t xml:space="preserve">  30%    </w:t>
      </w:r>
      <w:r>
        <w:rPr>
          <w:rFonts w:hint="eastAsia" w:ascii="仿宋" w:hAnsi="仿宋" w:eastAsia="仿宋" w:cs="仿宋"/>
          <w:b w:val="0"/>
          <w:bCs/>
          <w:color w:val="000000"/>
          <w:spacing w:val="-3"/>
          <w:sz w:val="30"/>
          <w:szCs w:val="30"/>
        </w:rPr>
        <w:t xml:space="preserve"> </w:t>
      </w:r>
      <w:r>
        <w:rPr>
          <w:rFonts w:hint="eastAsia" w:ascii="仿宋" w:hAnsi="仿宋" w:eastAsia="仿宋" w:cs="仿宋"/>
          <w:b w:val="0"/>
          <w:bCs/>
          <w:color w:val="000000"/>
          <w:spacing w:val="-3"/>
          <w:sz w:val="30"/>
          <w:szCs w:val="30"/>
          <w:lang w:val="en-US" w:eastAsia="zh-CN"/>
        </w:rPr>
        <w:t>作为</w:t>
      </w:r>
      <w:r>
        <w:rPr>
          <w:rFonts w:hint="eastAsia" w:ascii="仿宋" w:hAnsi="仿宋" w:eastAsia="仿宋" w:cs="仿宋"/>
          <w:b w:val="0"/>
          <w:bCs/>
          <w:color w:val="000000"/>
          <w:spacing w:val="-3"/>
          <w:sz w:val="30"/>
          <w:szCs w:val="30"/>
        </w:rPr>
        <w:t>农民工工资单独支付至承包人设立的农民工工资专用账户。</w:t>
      </w:r>
    </w:p>
    <w:p w14:paraId="38675F8E">
      <w:pPr>
        <w:numPr>
          <w:ilvl w:val="0"/>
          <w:numId w:val="7"/>
        </w:num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合同价格形式：</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19B465E4">
      <w:pPr>
        <w:pStyle w:val="51"/>
        <w:numPr>
          <w:ilvl w:val="0"/>
          <w:numId w:val="0"/>
        </w:numPr>
        <w:ind w:right="63" w:rightChars="30" w:firstLine="600" w:firstLineChars="200"/>
        <w:jc w:val="both"/>
        <w:rPr>
          <w:rFonts w:hint="eastAsia" w:ascii="华文仿宋" w:hAnsi="华文仿宋" w:eastAsia="华文仿宋" w:cs="华文仿宋"/>
          <w:color w:val="0000FF"/>
          <w:sz w:val="30"/>
          <w:szCs w:val="30"/>
          <w:highlight w:val="none"/>
          <w:lang w:val="en-US" w:eastAsia="zh-CN"/>
        </w:rPr>
      </w:pPr>
      <w:r>
        <w:rPr>
          <w:rFonts w:hint="eastAsia" w:ascii="华文仿宋" w:hAnsi="华文仿宋" w:eastAsia="华文仿宋" w:cs="华文仿宋"/>
          <w:color w:val="000000"/>
          <w:sz w:val="30"/>
          <w:szCs w:val="30"/>
          <w:highlight w:val="none"/>
          <w:lang w:val="en-US" w:eastAsia="zh-CN"/>
        </w:rPr>
        <w:t>3.最终结算金额以发包人选定的审计机构审定的金额为准，如结算审减率在 10%(含)以上，审计费用由承包人承担。若该项目后又被国家审计机关审计，则国家审计机关审定的金额为本项目最终结算价。</w:t>
      </w:r>
    </w:p>
    <w:p w14:paraId="003E7796">
      <w:pPr>
        <w:pStyle w:val="7"/>
        <w:spacing w:before="120" w:after="120" w:line="360" w:lineRule="auto"/>
        <w:rPr>
          <w:rFonts w:hint="default" w:ascii="Times New Roman" w:hAnsi="Times New Roman" w:eastAsia="黑体"/>
          <w:b w:val="0"/>
          <w:color w:val="000000"/>
          <w:sz w:val="32"/>
          <w:szCs w:val="32"/>
          <w:highlight w:val="yellow"/>
          <w:lang w:val="en-US" w:eastAsia="zh-CN"/>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79" w:name="_Toc351203485"/>
      <w:r>
        <w:rPr>
          <w:rFonts w:ascii="Times New Roman" w:hAnsi="Times New Roman" w:eastAsia="黑体"/>
          <w:b w:val="0"/>
          <w:color w:val="000000"/>
          <w:sz w:val="32"/>
          <w:szCs w:val="32"/>
        </w:rPr>
        <w:t>五、</w:t>
      </w:r>
      <w:bookmarkEnd w:id="479"/>
      <w:r>
        <w:rPr>
          <w:rFonts w:ascii="Times New Roman" w:hAnsi="Times New Roman" w:eastAsia="黑体"/>
          <w:b w:val="0"/>
          <w:color w:val="000000"/>
          <w:sz w:val="32"/>
          <w:szCs w:val="32"/>
        </w:rPr>
        <w:t>项目经理</w:t>
      </w:r>
    </w:p>
    <w:p w14:paraId="2D49738C">
      <w:pPr>
        <w:autoSpaceDE w:val="0"/>
        <w:autoSpaceDN w:val="0"/>
        <w:adjustRightInd w:val="0"/>
        <w:spacing w:line="360" w:lineRule="auto"/>
        <w:ind w:firstLine="600" w:firstLineChars="200"/>
        <w:jc w:val="left"/>
        <w:rPr>
          <w:rFonts w:ascii="Times New Roman" w:hAnsi="Times New Roman" w:eastAsia="黑体"/>
          <w:b/>
          <w:color w:val="000000"/>
          <w:sz w:val="32"/>
          <w:szCs w:val="32"/>
        </w:rPr>
      </w:pPr>
      <w:r>
        <w:rPr>
          <w:rFonts w:hint="eastAsia" w:ascii="Times New Roman" w:hAnsi="Times New Roman" w:eastAsia="仿宋_GB2312" w:cs="Times New Roman"/>
          <w:color w:val="000000"/>
          <w:sz w:val="30"/>
          <w:szCs w:val="30"/>
          <w:highlight w:val="none"/>
        </w:rPr>
        <w:t>承包人项目经理：</w:t>
      </w:r>
      <w:r>
        <w:rPr>
          <w:rFonts w:hint="eastAsia" w:ascii="Times New Roman" w:hAnsi="Times New Roman" w:eastAsia="仿宋_GB2312" w:cs="Times New Roman"/>
          <w:color w:val="000000"/>
          <w:sz w:val="30"/>
          <w:szCs w:val="30"/>
          <w:highlight w:val="none"/>
          <w:u w:val="single"/>
          <w:lang w:val="en-US" w:eastAsia="zh-CN"/>
        </w:rPr>
        <w:t xml:space="preserve">                 </w:t>
      </w:r>
      <w:r>
        <w:rPr>
          <w:rFonts w:hint="eastAsia" w:ascii="Times New Roman" w:hAnsi="Times New Roman" w:eastAsia="仿宋_GB2312" w:cs="Times New Roman"/>
          <w:color w:val="000000"/>
          <w:sz w:val="30"/>
          <w:szCs w:val="30"/>
          <w:highlight w:val="none"/>
          <w:u w:val="none"/>
          <w:lang w:val="en-US" w:eastAsia="zh-CN"/>
        </w:rPr>
        <w:t>。</w:t>
      </w:r>
      <w:r>
        <w:rPr>
          <w:rFonts w:ascii="Times New Roman" w:hAnsi="Times New Roman" w:eastAsia="黑体"/>
          <w:bCs/>
          <w:color w:val="000000"/>
          <w:sz w:val="32"/>
          <w:szCs w:val="32"/>
        </w:rPr>
        <w:t xml:space="preserve">   </w:t>
      </w:r>
      <w:r>
        <w:rPr>
          <w:rFonts w:ascii="Times New Roman" w:hAnsi="Times New Roman" w:eastAsia="黑体"/>
          <w:b/>
          <w:color w:val="000000"/>
          <w:sz w:val="32"/>
          <w:szCs w:val="32"/>
        </w:rPr>
        <w:t xml:space="preserve"> </w:t>
      </w:r>
      <w:bookmarkStart w:id="480" w:name="_Toc351203486"/>
    </w:p>
    <w:p w14:paraId="2D4ABFBF">
      <w:pPr>
        <w:autoSpaceDE w:val="0"/>
        <w:autoSpaceDN w:val="0"/>
        <w:adjustRightInd w:val="0"/>
        <w:spacing w:line="360" w:lineRule="auto"/>
        <w:ind w:firstLine="643" w:firstLineChars="200"/>
        <w:jc w:val="left"/>
        <w:rPr>
          <w:rFonts w:ascii="Times New Roman" w:hAnsi="Times New Roman" w:eastAsia="黑体"/>
          <w:bCs/>
          <w:color w:val="000000"/>
          <w:sz w:val="32"/>
          <w:szCs w:val="32"/>
        </w:rPr>
      </w:pPr>
      <w:r>
        <w:rPr>
          <w:rFonts w:ascii="Times New Roman" w:hAnsi="Times New Roman" w:eastAsia="黑体"/>
          <w:b/>
          <w:color w:val="000000"/>
          <w:sz w:val="32"/>
          <w:szCs w:val="32"/>
        </w:rPr>
        <w:t>六、合同文件构成</w:t>
      </w:r>
      <w:bookmarkEnd w:id="480"/>
    </w:p>
    <w:p w14:paraId="07EBC5F0">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14:paraId="1CD09276">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（1）中标通知书（如果有）；</w:t>
      </w:r>
    </w:p>
    <w:p w14:paraId="4D1AD4F4">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（2）投标函及其附录（如果有）； </w:t>
      </w:r>
    </w:p>
    <w:p w14:paraId="5F9C34E3">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（3）专用合同条款及其附件；</w:t>
      </w:r>
    </w:p>
    <w:p w14:paraId="580B9E85">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（4）通用合同条款；</w:t>
      </w:r>
    </w:p>
    <w:p w14:paraId="2C6BB835">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（5）技术标准和要求；</w:t>
      </w:r>
    </w:p>
    <w:p w14:paraId="55441404">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（6）图纸；</w:t>
      </w:r>
    </w:p>
    <w:p w14:paraId="258B5368">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（7）已标价工程量清单或预算书；</w:t>
      </w:r>
    </w:p>
    <w:p w14:paraId="67DE2A0B">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（8）其他合同文件。</w:t>
      </w:r>
    </w:p>
    <w:p w14:paraId="13827EB1">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在合同订立及履行过程中形成的与合同有关的文件均构成合同文件组成部分。</w:t>
      </w:r>
    </w:p>
    <w:p w14:paraId="7EE636D6">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30"/>
          <w:szCs w:val="30"/>
        </w:rPr>
        <w:t>专用合同条款及其附件须经合同当事人签字或盖章。</w:t>
      </w:r>
    </w:p>
    <w:p w14:paraId="1EB42B53">
      <w:pPr>
        <w:pStyle w:val="7"/>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481" w:name="_Toc351203487"/>
      <w:r>
        <w:rPr>
          <w:rFonts w:ascii="Times New Roman" w:hAnsi="Times New Roman" w:eastAsia="黑体"/>
          <w:b w:val="0"/>
          <w:color w:val="000000"/>
          <w:sz w:val="32"/>
          <w:szCs w:val="32"/>
        </w:rPr>
        <w:t>七、承诺</w:t>
      </w:r>
      <w:bookmarkEnd w:id="481"/>
    </w:p>
    <w:p w14:paraId="60EB93E7">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1.发包人承诺按照法律规定履行项目审批手续、筹集工程建设资金并按照合同约定的期限和方式支付合同价款。</w:t>
      </w:r>
    </w:p>
    <w:p w14:paraId="1F8E8A15">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34104F05">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3.发包人和承包人通过招投标形式签订合同的，双方理解并</w:t>
      </w:r>
      <w:r>
        <w:rPr>
          <w:rFonts w:hint="eastAsia" w:ascii="Times New Roman" w:hAnsi="Times New Roman" w:eastAsia="仿宋_GB2312"/>
          <w:bCs/>
          <w:color w:val="000000"/>
          <w:sz w:val="30"/>
          <w:szCs w:val="30"/>
        </w:rPr>
        <w:t>承诺</w:t>
      </w:r>
      <w:r>
        <w:rPr>
          <w:rFonts w:ascii="Times New Roman" w:hAnsi="Times New Roman" w:eastAsia="仿宋_GB2312"/>
          <w:bCs/>
          <w:color w:val="000000"/>
          <w:sz w:val="30"/>
          <w:szCs w:val="30"/>
        </w:rPr>
        <w:t>不再就同一工程另行签订与合同实质性内容相背离的协议。</w:t>
      </w:r>
    </w:p>
    <w:p w14:paraId="2DF6D3E3">
      <w:pPr>
        <w:spacing w:line="360" w:lineRule="auto"/>
        <w:rPr>
          <w:rFonts w:ascii="Times New Roman" w:hAnsi="Times New Roman" w:eastAsia="黑体"/>
          <w:bCs/>
          <w:color w:val="000000"/>
          <w:sz w:val="32"/>
          <w:szCs w:val="32"/>
        </w:rPr>
      </w:pPr>
      <w:bookmarkStart w:id="482" w:name="_Toc351203488"/>
      <w:r>
        <w:rPr>
          <w:rFonts w:hint="eastAsia" w:ascii="Times New Roman" w:hAnsi="Times New Roman" w:eastAsia="黑体"/>
          <w:b/>
          <w:color w:val="000000"/>
          <w:sz w:val="32"/>
          <w:szCs w:val="32"/>
        </w:rPr>
        <w:t xml:space="preserve">    </w:t>
      </w:r>
      <w:r>
        <w:rPr>
          <w:rFonts w:ascii="Times New Roman" w:hAnsi="Times New Roman" w:eastAsia="黑体"/>
          <w:b/>
          <w:color w:val="000000"/>
          <w:sz w:val="32"/>
          <w:szCs w:val="32"/>
        </w:rPr>
        <w:t>八、词语含义</w:t>
      </w:r>
      <w:bookmarkEnd w:id="482"/>
    </w:p>
    <w:p w14:paraId="4F80D560">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本协议书中词语含义与第二部分通用合同条款中赋予含义相同。</w:t>
      </w:r>
    </w:p>
    <w:p w14:paraId="3F054CF0">
      <w:pPr>
        <w:pStyle w:val="7"/>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83" w:name="_Toc351203489"/>
      <w:r>
        <w:rPr>
          <w:rFonts w:ascii="Times New Roman" w:hAnsi="Times New Roman" w:eastAsia="黑体"/>
          <w:b w:val="0"/>
          <w:color w:val="000000"/>
          <w:sz w:val="32"/>
          <w:szCs w:val="32"/>
        </w:rPr>
        <w:t>九、签订时间</w:t>
      </w:r>
      <w:bookmarkEnd w:id="483"/>
    </w:p>
    <w:p w14:paraId="6E67FA6F">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本合同于</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年</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月</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日签订。</w:t>
      </w:r>
    </w:p>
    <w:p w14:paraId="4953ADB1">
      <w:pPr>
        <w:pStyle w:val="7"/>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84" w:name="_Toc351203490"/>
      <w:r>
        <w:rPr>
          <w:rFonts w:ascii="Times New Roman" w:hAnsi="Times New Roman" w:eastAsia="黑体"/>
          <w:b w:val="0"/>
          <w:color w:val="000000"/>
          <w:sz w:val="32"/>
          <w:szCs w:val="32"/>
        </w:rPr>
        <w:t>十、签订地点</w:t>
      </w:r>
      <w:bookmarkEnd w:id="484"/>
    </w:p>
    <w:p w14:paraId="623F1B41">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签订。</w:t>
      </w:r>
    </w:p>
    <w:p w14:paraId="07DA5A0C">
      <w:pPr>
        <w:pStyle w:val="7"/>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85" w:name="_Toc351203491"/>
      <w:r>
        <w:rPr>
          <w:rFonts w:ascii="Times New Roman" w:hAnsi="Times New Roman" w:eastAsia="黑体"/>
          <w:b w:val="0"/>
          <w:color w:val="000000"/>
          <w:sz w:val="32"/>
          <w:szCs w:val="32"/>
        </w:rPr>
        <w:t>十一、补充协议</w:t>
      </w:r>
      <w:bookmarkEnd w:id="485"/>
    </w:p>
    <w:p w14:paraId="3346F25B">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14:paraId="7AB5A445">
      <w:pPr>
        <w:pStyle w:val="7"/>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86" w:name="_Toc351203492"/>
      <w:r>
        <w:rPr>
          <w:rFonts w:ascii="Times New Roman" w:hAnsi="Times New Roman" w:eastAsia="黑体"/>
          <w:b w:val="0"/>
          <w:color w:val="000000"/>
          <w:sz w:val="32"/>
          <w:szCs w:val="32"/>
        </w:rPr>
        <w:t>十二、合同生效</w:t>
      </w:r>
      <w:bookmarkEnd w:id="486"/>
    </w:p>
    <w:p w14:paraId="51C98B04">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w:t>
      </w:r>
      <w:r>
        <w:rPr>
          <w:rFonts w:hint="eastAsia" w:ascii="Times New Roman" w:hAnsi="Times New Roman" w:eastAsia="仿宋_GB2312"/>
          <w:bCs/>
          <w:color w:val="000000"/>
          <w:sz w:val="30"/>
          <w:szCs w:val="30"/>
        </w:rPr>
        <w:t>自双方法定代表人或其委托代理人签字盖单位章后</w:t>
      </w:r>
      <w:r>
        <w:rPr>
          <w:rFonts w:ascii="Times New Roman" w:hAnsi="Times New Roman" w:eastAsia="仿宋_GB2312"/>
          <w:bCs/>
          <w:color w:val="000000"/>
          <w:sz w:val="30"/>
          <w:szCs w:val="30"/>
        </w:rPr>
        <w:t>生效。</w:t>
      </w:r>
    </w:p>
    <w:p w14:paraId="2E96DB32">
      <w:pPr>
        <w:pStyle w:val="7"/>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87" w:name="_Toc351203493"/>
      <w:r>
        <w:rPr>
          <w:rFonts w:ascii="Times New Roman" w:hAnsi="Times New Roman" w:eastAsia="黑体"/>
          <w:b w:val="0"/>
          <w:color w:val="000000"/>
          <w:sz w:val="32"/>
          <w:szCs w:val="32"/>
        </w:rPr>
        <w:t>十三、合同份数</w:t>
      </w:r>
      <w:bookmarkEnd w:id="487"/>
    </w:p>
    <w:p w14:paraId="41CC75D2">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份，均具有同等法律效力，发包人执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份，承包人执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p>
    <w:p w14:paraId="642CFBAD">
      <w:pPr>
        <w:spacing w:line="360" w:lineRule="auto"/>
        <w:rPr>
          <w:rFonts w:hint="eastAsia" w:ascii="Times New Roman" w:hAnsi="Times New Roman" w:eastAsia="仿宋_GB2312"/>
          <w:color w:val="000000"/>
          <w:sz w:val="30"/>
          <w:szCs w:val="30"/>
        </w:rPr>
      </w:pPr>
    </w:p>
    <w:p w14:paraId="4A07C59A">
      <w:pPr>
        <w:spacing w:line="360" w:lineRule="auto"/>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p>
    <w:p w14:paraId="70D48C83">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14:paraId="749632D6">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（签字）                    （签字）</w:t>
      </w:r>
    </w:p>
    <w:p w14:paraId="4514025B">
      <w:pPr>
        <w:keepNext w:val="0"/>
        <w:keepLines w:val="0"/>
        <w:pageBreakBefore w:val="0"/>
        <w:widowControl w:val="0"/>
        <w:tabs>
          <w:tab w:val="left" w:pos="4410"/>
        </w:tabs>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14:paraId="436FB99C">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BDE580B">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14:paraId="19B5C0E0">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298640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46896C95">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4B46643E">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355BD811">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14:paraId="091034A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p>
    <w:p w14:paraId="498B05E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华文中宋" w:hAnsi="华文中宋" w:eastAsia="华文中宋"/>
          <w:sz w:val="44"/>
          <w:szCs w:val="44"/>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eastAsia="仿宋_GB2312"/>
        </w:rPr>
        <w:br w:type="page"/>
      </w:r>
      <w:bookmarkStart w:id="488" w:name="_Toc351203494"/>
      <w:r>
        <w:rPr>
          <w:rFonts w:hint="eastAsia" w:eastAsia="仿宋_GB2312"/>
          <w:lang w:val="en-US" w:eastAsia="zh-CN"/>
        </w:rPr>
        <w:t xml:space="preserve">                   </w:t>
      </w:r>
      <w:r>
        <w:rPr>
          <w:rFonts w:hint="eastAsia" w:ascii="华文中宋" w:hAnsi="华文中宋" w:eastAsia="华文中宋" w:cs="Times New Roman"/>
          <w:sz w:val="44"/>
          <w:szCs w:val="44"/>
          <w:lang w:val="en-US" w:eastAsia="zh-CN"/>
        </w:rPr>
        <w:t xml:space="preserve">第二部分 </w:t>
      </w:r>
      <w:r>
        <w:rPr>
          <w:rFonts w:ascii="华文中宋" w:hAnsi="华文中宋" w:eastAsia="华文中宋"/>
          <w:sz w:val="44"/>
          <w:szCs w:val="44"/>
        </w:rPr>
        <w:t>通用合同条款</w:t>
      </w:r>
      <w:bookmarkEnd w:id="488"/>
      <w:bookmarkStart w:id="489" w:name="_Toc337558727"/>
    </w:p>
    <w:p w14:paraId="4DBBD9F4">
      <w:pPr>
        <w:pStyle w:val="222"/>
        <w:numPr>
          <w:ilvl w:val="0"/>
          <w:numId w:val="0"/>
        </w:numPr>
        <w:snapToGrid w:val="0"/>
        <w:spacing w:line="288"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参照《建设工程施工合同(示范文本)》(GF-2017-0201)的《通用合同条款》。</w:t>
      </w:r>
    </w:p>
    <w:p w14:paraId="6DA5C5FD">
      <w:pPr>
        <w:numPr>
          <w:ilvl w:val="0"/>
          <w:numId w:val="0"/>
        </w:numPr>
        <w:rPr>
          <w:rFonts w:hint="eastAsia"/>
        </w:rPr>
      </w:pPr>
    </w:p>
    <w:bookmarkEnd w:id="489"/>
    <w:p w14:paraId="74754CCD">
      <w:pPr>
        <w:pStyle w:val="6"/>
        <w:jc w:val="center"/>
        <w:rPr>
          <w:rFonts w:ascii="华文中宋" w:hAnsi="华文中宋" w:eastAsia="华文中宋"/>
          <w:sz w:val="44"/>
          <w:szCs w:val="44"/>
        </w:rPr>
      </w:pPr>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14:paraId="169E6763">
      <w:pPr>
        <w:pStyle w:val="7"/>
        <w:spacing w:before="120" w:after="120" w:line="360" w:lineRule="auto"/>
        <w:rPr>
          <w:rFonts w:ascii="Times New Roman" w:hAnsi="Times New Roman" w:eastAsia="黑体"/>
          <w:b w:val="0"/>
          <w:color w:val="000000"/>
          <w:sz w:val="32"/>
          <w:szCs w:val="32"/>
        </w:rPr>
      </w:pPr>
      <w:bookmarkStart w:id="490" w:name="_Toc351203633"/>
      <w:r>
        <w:rPr>
          <w:rFonts w:ascii="Times New Roman" w:hAnsi="Times New Roman" w:eastAsia="黑体"/>
          <w:b w:val="0"/>
          <w:color w:val="000000"/>
          <w:sz w:val="32"/>
          <w:szCs w:val="32"/>
        </w:rPr>
        <w:t>1</w:t>
      </w:r>
      <w:bookmarkStart w:id="491" w:name="_Toc297120456"/>
      <w:bookmarkStart w:id="492" w:name="_Toc296503156"/>
      <w:bookmarkStart w:id="493" w:name="_Toc296890984"/>
      <w:bookmarkStart w:id="494" w:name="_Toc296346657"/>
      <w:bookmarkStart w:id="495" w:name="_Toc292559866"/>
      <w:bookmarkStart w:id="496" w:name="_Toc296347155"/>
      <w:bookmarkStart w:id="497" w:name="_Toc292559361"/>
      <w:bookmarkStart w:id="498" w:name="_Toc296891196"/>
      <w:bookmarkStart w:id="499" w:name="_Toc297048342"/>
      <w:bookmarkStart w:id="500" w:name="_Toc296944495"/>
      <w:r>
        <w:rPr>
          <w:rFonts w:ascii="Times New Roman" w:hAnsi="Times New Roman" w:eastAsia="黑体"/>
          <w:b w:val="0"/>
          <w:color w:val="000000"/>
          <w:sz w:val="32"/>
          <w:szCs w:val="32"/>
        </w:rPr>
        <w:t>. 一般约定</w:t>
      </w:r>
      <w:bookmarkEnd w:id="490"/>
    </w:p>
    <w:bookmarkEnd w:id="491"/>
    <w:bookmarkEnd w:id="492"/>
    <w:bookmarkEnd w:id="493"/>
    <w:bookmarkEnd w:id="494"/>
    <w:bookmarkEnd w:id="495"/>
    <w:bookmarkEnd w:id="496"/>
    <w:bookmarkEnd w:id="497"/>
    <w:bookmarkEnd w:id="498"/>
    <w:bookmarkEnd w:id="499"/>
    <w:bookmarkEnd w:id="500"/>
    <w:p w14:paraId="1BF320F1">
      <w:pPr>
        <w:spacing w:after="120" w:line="360" w:lineRule="auto"/>
        <w:ind w:firstLine="600" w:firstLineChars="200"/>
        <w:outlineLvl w:val="0"/>
        <w:rPr>
          <w:rFonts w:ascii="Times New Roman" w:hAnsi="Times New Roman" w:eastAsia="黑体"/>
          <w:color w:val="000000"/>
          <w:sz w:val="30"/>
          <w:szCs w:val="32"/>
        </w:rPr>
      </w:pPr>
      <w:bookmarkStart w:id="501" w:name="_Toc26925"/>
      <w:r>
        <w:rPr>
          <w:rFonts w:ascii="Times New Roman" w:hAnsi="Times New Roman" w:eastAsia="黑体"/>
          <w:color w:val="000000"/>
          <w:sz w:val="30"/>
          <w:szCs w:val="32"/>
        </w:rPr>
        <w:t>1.1 词语定义</w:t>
      </w:r>
      <w:bookmarkEnd w:id="501"/>
    </w:p>
    <w:p w14:paraId="356E53DE">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1.1.1合同</w:t>
      </w:r>
    </w:p>
    <w:p w14:paraId="1B644734">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1.1.1.10其他合同文件包括：</w:t>
      </w:r>
      <w:r>
        <w:rPr>
          <w:rFonts w:hint="eastAsia" w:ascii="Times New Roman" w:hAnsi="Times New Roman" w:eastAsia="仿宋_GB2312"/>
          <w:color w:val="000000"/>
          <w:kern w:val="0"/>
          <w:sz w:val="30"/>
          <w:szCs w:val="32"/>
          <w:u w:val="single"/>
        </w:rPr>
        <w:t>按照合同协议书[第六条]约定执行</w:t>
      </w:r>
      <w:r>
        <w:rPr>
          <w:rFonts w:ascii="Times New Roman" w:hAnsi="Times New Roman" w:eastAsia="仿宋_GB2312"/>
          <w:color w:val="000000"/>
          <w:sz w:val="30"/>
          <w:szCs w:val="32"/>
        </w:rPr>
        <w:t>。</w:t>
      </w:r>
    </w:p>
    <w:p w14:paraId="1B3706B8">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 合同当事人及其他相关方</w:t>
      </w:r>
    </w:p>
    <w:p w14:paraId="3E8074DE">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1.1.2.4监理人：</w:t>
      </w:r>
    </w:p>
    <w:p w14:paraId="7D54D7B9">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14:paraId="112D4159">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5515CA9D">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49B6FB8A">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3EE1DCBC">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0580F17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1.1.2.5 设计人：</w:t>
      </w:r>
    </w:p>
    <w:p w14:paraId="7DC74F4A">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14:paraId="594705C3">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44696118">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4CCAD00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03F23624">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49AA2B62">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1.1.3 工程和设备</w:t>
      </w:r>
    </w:p>
    <w:p w14:paraId="785F6C55">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1.1.3.7 作为施工现场组成部分的其他场所包括：</w:t>
      </w:r>
      <w:r>
        <w:rPr>
          <w:rFonts w:hint="eastAsia" w:ascii="Times New Roman" w:hAnsi="Times New Roman" w:eastAsia="仿宋_GB2312"/>
          <w:color w:val="000000"/>
          <w:sz w:val="30"/>
          <w:szCs w:val="32"/>
          <w:u w:val="single"/>
        </w:rPr>
        <w:t>永久占地、临时占地以及为修建临时工程而租用、占用的土地</w:t>
      </w:r>
      <w:r>
        <w:rPr>
          <w:rFonts w:ascii="Times New Roman" w:hAnsi="Times New Roman" w:eastAsia="仿宋_GB2312"/>
          <w:color w:val="000000"/>
          <w:sz w:val="30"/>
          <w:szCs w:val="32"/>
        </w:rPr>
        <w:t>。</w:t>
      </w:r>
    </w:p>
    <w:p w14:paraId="33FC62ED">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1.1.3.9 永久占地包括：</w:t>
      </w:r>
      <w:r>
        <w:rPr>
          <w:rFonts w:hint="eastAsia" w:ascii="仿宋" w:hAnsi="仿宋" w:eastAsia="仿宋" w:cs="仿宋"/>
          <w:b w:val="0"/>
          <w:bCs/>
          <w:color w:val="auto"/>
          <w:spacing w:val="-6"/>
          <w:sz w:val="30"/>
          <w:szCs w:val="30"/>
          <w:u w:val="single" w:color="auto"/>
        </w:rPr>
        <w:t>为实施合同工程而需要的一切永久占用的土地， 即合同工程用地红线范围</w:t>
      </w:r>
      <w:r>
        <w:rPr>
          <w:rFonts w:hint="eastAsia" w:ascii="仿宋" w:hAnsi="仿宋" w:eastAsia="仿宋" w:cs="仿宋"/>
          <w:b w:val="0"/>
          <w:bCs/>
          <w:color w:val="auto"/>
          <w:spacing w:val="-9"/>
          <w:sz w:val="30"/>
          <w:szCs w:val="30"/>
          <w:u w:val="single" w:color="auto"/>
        </w:rPr>
        <w:t>内</w:t>
      </w:r>
      <w:r>
        <w:rPr>
          <w:rFonts w:hint="eastAsia" w:ascii="仿宋" w:hAnsi="仿宋" w:eastAsia="仿宋" w:cs="仿宋"/>
          <w:b w:val="0"/>
          <w:bCs/>
          <w:color w:val="auto"/>
          <w:spacing w:val="-6"/>
          <w:sz w:val="30"/>
          <w:szCs w:val="30"/>
          <w:u w:val="single" w:color="auto"/>
        </w:rPr>
        <w:t>的土地</w:t>
      </w:r>
      <w:r>
        <w:rPr>
          <w:rFonts w:ascii="Times New Roman" w:hAnsi="Times New Roman" w:eastAsia="仿宋_GB2312"/>
          <w:color w:val="000000"/>
          <w:kern w:val="0"/>
          <w:sz w:val="30"/>
          <w:szCs w:val="30"/>
        </w:rPr>
        <w:t>。</w:t>
      </w:r>
    </w:p>
    <w:p w14:paraId="2375BE8A">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kern w:val="0"/>
          <w:sz w:val="30"/>
          <w:szCs w:val="32"/>
        </w:rPr>
        <w:t>1.1.3.10 临时占地包括：</w:t>
      </w:r>
      <w:r>
        <w:rPr>
          <w:rFonts w:hint="eastAsia" w:ascii="仿宋" w:hAnsi="仿宋" w:eastAsia="仿宋" w:cs="仿宋"/>
          <w:b w:val="0"/>
          <w:bCs/>
          <w:color w:val="auto"/>
          <w:spacing w:val="-6"/>
          <w:sz w:val="30"/>
          <w:szCs w:val="30"/>
          <w:u w:val="single" w:color="auto"/>
        </w:rPr>
        <w:t>为实施合同工程而需要的一切临时占用的土地，包括施工所用的临时便道</w:t>
      </w:r>
      <w:r>
        <w:rPr>
          <w:rFonts w:hint="eastAsia" w:ascii="仿宋" w:hAnsi="仿宋" w:eastAsia="仿宋" w:cs="仿宋"/>
          <w:b w:val="0"/>
          <w:bCs/>
          <w:color w:val="auto"/>
          <w:spacing w:val="8"/>
          <w:sz w:val="30"/>
          <w:szCs w:val="30"/>
          <w:u w:val="single" w:color="auto"/>
        </w:rPr>
        <w:t>等的临时出入道，以及生产</w:t>
      </w:r>
      <w:r>
        <w:rPr>
          <w:rFonts w:hint="eastAsia" w:ascii="仿宋" w:hAnsi="仿宋" w:eastAsia="仿宋" w:cs="仿宋"/>
          <w:b w:val="0"/>
          <w:bCs/>
          <w:color w:val="auto"/>
          <w:spacing w:val="8"/>
          <w:sz w:val="30"/>
          <w:szCs w:val="30"/>
          <w:u w:val="single" w:color="auto"/>
          <w:lang w:eastAsia="zh-CN"/>
        </w:rPr>
        <w:t>（</w:t>
      </w:r>
      <w:r>
        <w:rPr>
          <w:rFonts w:hint="eastAsia" w:ascii="仿宋" w:hAnsi="仿宋" w:eastAsia="仿宋" w:cs="仿宋"/>
          <w:b w:val="0"/>
          <w:bCs/>
          <w:color w:val="auto"/>
          <w:spacing w:val="8"/>
          <w:sz w:val="30"/>
          <w:szCs w:val="30"/>
          <w:u w:val="single" w:color="auto"/>
        </w:rPr>
        <w:t>办公</w:t>
      </w:r>
      <w:r>
        <w:rPr>
          <w:rFonts w:hint="eastAsia" w:ascii="仿宋" w:hAnsi="仿宋" w:eastAsia="仿宋" w:cs="仿宋"/>
          <w:b w:val="0"/>
          <w:bCs/>
          <w:color w:val="auto"/>
          <w:spacing w:val="8"/>
          <w:sz w:val="30"/>
          <w:szCs w:val="30"/>
          <w:u w:val="single" w:color="auto"/>
          <w:lang w:eastAsia="zh-CN"/>
        </w:rPr>
        <w:t>）</w:t>
      </w:r>
      <w:r>
        <w:rPr>
          <w:rFonts w:hint="eastAsia" w:ascii="仿宋" w:hAnsi="仿宋" w:eastAsia="仿宋" w:cs="仿宋"/>
          <w:b w:val="0"/>
          <w:bCs/>
          <w:color w:val="auto"/>
          <w:spacing w:val="8"/>
          <w:sz w:val="30"/>
          <w:szCs w:val="30"/>
          <w:u w:val="single" w:color="auto"/>
        </w:rPr>
        <w:t>、生活等临时设施用地</w:t>
      </w:r>
      <w:r>
        <w:rPr>
          <w:rFonts w:ascii="Times New Roman" w:hAnsi="Times New Roman" w:eastAsia="仿宋_GB2312"/>
          <w:color w:val="000000"/>
          <w:kern w:val="0"/>
          <w:sz w:val="30"/>
          <w:szCs w:val="30"/>
        </w:rPr>
        <w:t>。</w:t>
      </w:r>
    </w:p>
    <w:p w14:paraId="79ACC234">
      <w:pPr>
        <w:spacing w:after="120" w:line="360" w:lineRule="auto"/>
        <w:ind w:firstLine="600" w:firstLineChars="200"/>
        <w:rPr>
          <w:rFonts w:ascii="Times New Roman" w:hAnsi="Times New Roman" w:eastAsia="黑体"/>
          <w:color w:val="000000"/>
          <w:sz w:val="30"/>
          <w:szCs w:val="30"/>
        </w:rPr>
      </w:pPr>
      <w:r>
        <w:rPr>
          <w:rFonts w:ascii="Times New Roman" w:hAnsi="Times New Roman" w:eastAsia="黑体"/>
          <w:color w:val="000000"/>
          <w:sz w:val="30"/>
          <w:szCs w:val="32"/>
        </w:rPr>
        <w:t xml:space="preserve">1.3法律 </w:t>
      </w:r>
    </w:p>
    <w:p w14:paraId="541CD4D2">
      <w:pPr>
        <w:autoSpaceDE w:val="0"/>
        <w:autoSpaceDN w:val="0"/>
        <w:adjustRightInd w:val="0"/>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适用于合同的其他规范性文件：</w:t>
      </w:r>
      <w:r>
        <w:rPr>
          <w:rFonts w:hint="eastAsia" w:ascii="仿宋" w:hAnsi="仿宋" w:eastAsia="仿宋" w:cs="仿宋"/>
          <w:b w:val="0"/>
          <w:bCs/>
          <w:color w:val="auto"/>
          <w:spacing w:val="-4"/>
          <w:sz w:val="30"/>
          <w:szCs w:val="30"/>
          <w:u w:val="single" w:color="auto"/>
        </w:rPr>
        <w:t>《中华人民共和国民法典</w:t>
      </w:r>
      <w:r>
        <w:rPr>
          <w:rFonts w:hint="eastAsia" w:ascii="仿宋" w:hAnsi="仿宋" w:eastAsia="仿宋" w:cs="仿宋"/>
          <w:b w:val="0"/>
          <w:bCs/>
          <w:color w:val="auto"/>
          <w:spacing w:val="-4"/>
          <w:sz w:val="30"/>
          <w:szCs w:val="30"/>
          <w:u w:val="single" w:color="auto"/>
          <w:lang w:eastAsia="zh-CN"/>
        </w:rPr>
        <w:t>》《</w:t>
      </w:r>
      <w:r>
        <w:rPr>
          <w:rFonts w:hint="eastAsia" w:ascii="仿宋" w:hAnsi="仿宋" w:eastAsia="仿宋" w:cs="仿宋"/>
          <w:b w:val="0"/>
          <w:bCs/>
          <w:color w:val="auto"/>
          <w:spacing w:val="-4"/>
          <w:sz w:val="30"/>
          <w:szCs w:val="30"/>
          <w:u w:val="single" w:color="auto"/>
        </w:rPr>
        <w:t>中华人民共和国建筑法》和《建</w:t>
      </w:r>
      <w:r>
        <w:rPr>
          <w:rFonts w:hint="eastAsia" w:ascii="仿宋" w:hAnsi="仿宋" w:eastAsia="仿宋" w:cs="仿宋"/>
          <w:b w:val="0"/>
          <w:bCs/>
          <w:color w:val="auto"/>
          <w:spacing w:val="-16"/>
          <w:sz w:val="30"/>
          <w:szCs w:val="30"/>
          <w:u w:val="single" w:color="auto"/>
        </w:rPr>
        <w:t>设工</w:t>
      </w:r>
      <w:r>
        <w:rPr>
          <w:rFonts w:hint="eastAsia" w:ascii="仿宋" w:hAnsi="仿宋" w:eastAsia="仿宋" w:cs="仿宋"/>
          <w:b w:val="0"/>
          <w:bCs/>
          <w:color w:val="auto"/>
          <w:spacing w:val="-10"/>
          <w:sz w:val="30"/>
          <w:szCs w:val="30"/>
          <w:u w:val="single" w:color="auto"/>
        </w:rPr>
        <w:t>程</w:t>
      </w:r>
      <w:r>
        <w:rPr>
          <w:rFonts w:hint="eastAsia" w:ascii="仿宋" w:hAnsi="仿宋" w:eastAsia="仿宋" w:cs="仿宋"/>
          <w:b w:val="0"/>
          <w:bCs/>
          <w:color w:val="auto"/>
          <w:spacing w:val="-8"/>
          <w:sz w:val="30"/>
          <w:szCs w:val="30"/>
          <w:u w:val="single" w:color="auto"/>
        </w:rPr>
        <w:t>勘察设计管理条例》《建筑工程勘察设计市场管理规定》和《重庆市建设工程勘察设计管理条例》、</w:t>
      </w:r>
      <w:r>
        <w:rPr>
          <w:rFonts w:hint="eastAsia" w:ascii="仿宋" w:hAnsi="仿宋" w:eastAsia="仿宋" w:cs="仿宋"/>
          <w:b w:val="0"/>
          <w:bCs/>
          <w:color w:val="auto"/>
          <w:spacing w:val="-2"/>
          <w:sz w:val="30"/>
          <w:szCs w:val="30"/>
          <w:u w:val="single" w:color="auto"/>
        </w:rPr>
        <w:t>《建设工程质量管理条例</w:t>
      </w:r>
      <w:r>
        <w:rPr>
          <w:rFonts w:hint="eastAsia" w:ascii="仿宋" w:hAnsi="仿宋" w:eastAsia="仿宋" w:cs="仿宋"/>
          <w:b w:val="0"/>
          <w:bCs/>
          <w:color w:val="auto"/>
          <w:spacing w:val="-2"/>
          <w:sz w:val="30"/>
          <w:szCs w:val="30"/>
          <w:u w:val="single" w:color="auto"/>
          <w:lang w:eastAsia="zh-CN"/>
        </w:rPr>
        <w:t>》《</w:t>
      </w:r>
      <w:r>
        <w:rPr>
          <w:rFonts w:hint="eastAsia" w:ascii="仿宋" w:hAnsi="仿宋" w:eastAsia="仿宋" w:cs="仿宋"/>
          <w:b w:val="0"/>
          <w:bCs/>
          <w:color w:val="auto"/>
          <w:spacing w:val="-2"/>
          <w:sz w:val="30"/>
          <w:szCs w:val="30"/>
          <w:u w:val="single" w:color="auto"/>
        </w:rPr>
        <w:t>建设工程安全生产管理条例》等全部与本项</w:t>
      </w:r>
      <w:r>
        <w:rPr>
          <w:rFonts w:hint="eastAsia" w:ascii="仿宋" w:hAnsi="仿宋" w:eastAsia="仿宋" w:cs="仿宋"/>
          <w:b w:val="0"/>
          <w:bCs/>
          <w:color w:val="auto"/>
          <w:spacing w:val="-1"/>
          <w:sz w:val="30"/>
          <w:szCs w:val="30"/>
          <w:u w:val="single" w:color="auto"/>
        </w:rPr>
        <w:t>目相关的法律法规、部门规</w:t>
      </w:r>
      <w:r>
        <w:rPr>
          <w:rFonts w:hint="eastAsia" w:ascii="仿宋" w:hAnsi="仿宋" w:eastAsia="仿宋" w:cs="仿宋"/>
          <w:b w:val="0"/>
          <w:bCs/>
          <w:color w:val="auto"/>
          <w:spacing w:val="1"/>
          <w:sz w:val="30"/>
          <w:szCs w:val="30"/>
          <w:u w:val="single" w:color="auto"/>
        </w:rPr>
        <w:t>章、地方</w:t>
      </w:r>
      <w:r>
        <w:rPr>
          <w:rFonts w:hint="eastAsia" w:ascii="仿宋" w:hAnsi="仿宋" w:eastAsia="仿宋" w:cs="仿宋"/>
          <w:b w:val="0"/>
          <w:bCs/>
          <w:color w:val="auto"/>
          <w:sz w:val="30"/>
          <w:szCs w:val="30"/>
          <w:u w:val="single" w:color="auto"/>
        </w:rPr>
        <w:t>性法规规章、规范性文件等</w:t>
      </w:r>
      <w:r>
        <w:rPr>
          <w:rFonts w:ascii="Times New Roman" w:hAnsi="Times New Roman" w:eastAsia="仿宋_GB2312"/>
          <w:color w:val="000000"/>
          <w:sz w:val="30"/>
          <w:szCs w:val="30"/>
        </w:rPr>
        <w:t>。</w:t>
      </w:r>
    </w:p>
    <w:p w14:paraId="7ABBA7F4">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 标准和规范</w:t>
      </w:r>
    </w:p>
    <w:p w14:paraId="44AE6C0C">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left="434"/>
        <w:jc w:val="both"/>
        <w:textAlignment w:val="baseline"/>
        <w:rPr>
          <w:rFonts w:ascii="Times New Roman" w:hAnsi="Times New Roman" w:eastAsia="仿宋_GB2312"/>
          <w:color w:val="000000"/>
          <w:sz w:val="30"/>
          <w:szCs w:val="32"/>
        </w:rPr>
      </w:pPr>
      <w:r>
        <w:rPr>
          <w:rFonts w:ascii="Times New Roman" w:hAnsi="Times New Roman" w:eastAsia="仿宋_GB2312"/>
          <w:color w:val="000000"/>
          <w:sz w:val="30"/>
          <w:szCs w:val="32"/>
        </w:rPr>
        <w:t>1.4.1适用于工程的标准规范包括：</w:t>
      </w:r>
    </w:p>
    <w:p w14:paraId="0425DB3A">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left="434"/>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2"/>
          <w:sz w:val="30"/>
          <w:szCs w:val="30"/>
        </w:rPr>
        <w:t>(</w:t>
      </w:r>
      <w:r>
        <w:rPr>
          <w:rFonts w:hint="eastAsia" w:ascii="仿宋" w:hAnsi="仿宋" w:eastAsia="仿宋" w:cs="仿宋"/>
          <w:b w:val="0"/>
          <w:bCs/>
          <w:color w:val="auto"/>
          <w:spacing w:val="8"/>
          <w:sz w:val="30"/>
          <w:szCs w:val="30"/>
        </w:rPr>
        <w:t>1</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6"/>
          <w:sz w:val="30"/>
          <w:szCs w:val="30"/>
        </w:rPr>
        <w:t>施工图所涉及的技术标准、规范、规程、图集等；</w:t>
      </w:r>
    </w:p>
    <w:p w14:paraId="7835DC26">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left="434"/>
        <w:jc w:val="both"/>
        <w:textAlignment w:val="baseline"/>
        <w:rPr>
          <w:rFonts w:ascii="Times New Roman" w:hAnsi="Times New Roman" w:eastAsia="仿宋_GB2312"/>
          <w:color w:val="000000"/>
          <w:sz w:val="30"/>
          <w:szCs w:val="30"/>
        </w:rPr>
      </w:pPr>
      <w:r>
        <w:rPr>
          <w:rFonts w:hint="eastAsia" w:ascii="仿宋" w:hAnsi="仿宋" w:eastAsia="仿宋" w:cs="仿宋"/>
          <w:b w:val="0"/>
          <w:bCs/>
          <w:color w:val="auto"/>
          <w:spacing w:val="8"/>
          <w:sz w:val="30"/>
          <w:szCs w:val="30"/>
        </w:rPr>
        <w:t>(2</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6"/>
          <w:sz w:val="30"/>
          <w:szCs w:val="30"/>
        </w:rPr>
        <w:t>国家、行业或重庆市与本工程有关的标准，以及相应的规范、规程等，当这些标准、规范、规程不一致时，以标准、规范、规程要求最高的为准。</w:t>
      </w:r>
    </w:p>
    <w:p w14:paraId="4033A9F8">
      <w:pPr>
        <w:spacing w:line="360" w:lineRule="auto"/>
        <w:ind w:left="596" w:leftChars="284"/>
        <w:rPr>
          <w:rFonts w:ascii="Times New Roman" w:hAnsi="Times New Roman" w:eastAsia="仿宋_GB2312"/>
          <w:color w:val="000000"/>
          <w:sz w:val="30"/>
          <w:szCs w:val="32"/>
        </w:rPr>
      </w:pPr>
      <w:r>
        <w:rPr>
          <w:rFonts w:ascii="Times New Roman" w:hAnsi="Times New Roman" w:eastAsia="仿宋_GB2312"/>
          <w:color w:val="000000"/>
          <w:sz w:val="30"/>
          <w:szCs w:val="32"/>
        </w:rPr>
        <w:t>1.4.3发包人对工程的技术标准和功能要求的特殊要求：</w:t>
      </w:r>
      <w:r>
        <w:rPr>
          <w:rFonts w:hint="eastAsia" w:ascii="仿宋" w:hAnsi="仿宋" w:eastAsia="仿宋" w:cs="仿宋"/>
          <w:b w:val="0"/>
          <w:bCs/>
          <w:color w:val="auto"/>
          <w:spacing w:val="-2"/>
          <w:sz w:val="30"/>
          <w:szCs w:val="30"/>
          <w:u w:val="single" w:color="auto"/>
        </w:rPr>
        <w:t>符合国家强制性技术标准及功能要求</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2"/>
        </w:rPr>
        <w:t>。</w:t>
      </w:r>
    </w:p>
    <w:p w14:paraId="4699E456">
      <w:pPr>
        <w:spacing w:after="120" w:line="360" w:lineRule="auto"/>
        <w:ind w:firstLine="600" w:firstLineChars="200"/>
        <w:outlineLvl w:val="0"/>
        <w:rPr>
          <w:rFonts w:ascii="Times New Roman" w:hAnsi="Times New Roman" w:eastAsia="黑体"/>
          <w:color w:val="000000"/>
          <w:sz w:val="30"/>
          <w:szCs w:val="32"/>
        </w:rPr>
      </w:pPr>
      <w:bookmarkStart w:id="502" w:name="_Toc8307"/>
      <w:r>
        <w:rPr>
          <w:rFonts w:ascii="Times New Roman" w:hAnsi="Times New Roman" w:eastAsia="黑体"/>
          <w:color w:val="000000"/>
          <w:sz w:val="30"/>
          <w:szCs w:val="32"/>
        </w:rPr>
        <w:t>1.5 合同文件的优先顺序</w:t>
      </w:r>
      <w:bookmarkEnd w:id="502"/>
    </w:p>
    <w:p w14:paraId="34AF41C9">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合同文件组成及优先顺序为：</w:t>
      </w:r>
    </w:p>
    <w:p w14:paraId="144D2629">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88"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2"/>
          <w:sz w:val="30"/>
          <w:szCs w:val="30"/>
        </w:rPr>
        <w:t>(</w:t>
      </w:r>
      <w:r>
        <w:rPr>
          <w:rFonts w:hint="eastAsia" w:ascii="仿宋" w:hAnsi="仿宋" w:eastAsia="仿宋" w:cs="仿宋"/>
          <w:b w:val="0"/>
          <w:bCs/>
          <w:color w:val="auto"/>
          <w:spacing w:val="16"/>
          <w:sz w:val="30"/>
          <w:szCs w:val="30"/>
        </w:rPr>
        <w:t>1</w:t>
      </w:r>
      <w:r>
        <w:rPr>
          <w:rFonts w:hint="eastAsia" w:ascii="仿宋" w:hAnsi="仿宋" w:eastAsia="仿宋" w:cs="仿宋"/>
          <w:b w:val="0"/>
          <w:bCs/>
          <w:color w:val="auto"/>
          <w:spacing w:val="16"/>
          <w:sz w:val="30"/>
          <w:szCs w:val="30"/>
          <w:lang w:eastAsia="zh-CN"/>
        </w:rPr>
        <w:t>)</w:t>
      </w:r>
      <w:r>
        <w:rPr>
          <w:rFonts w:hint="eastAsia" w:ascii="仿宋" w:hAnsi="仿宋" w:eastAsia="仿宋" w:cs="仿宋"/>
          <w:b w:val="0"/>
          <w:bCs/>
          <w:color w:val="auto"/>
          <w:spacing w:val="16"/>
          <w:sz w:val="30"/>
          <w:szCs w:val="30"/>
        </w:rPr>
        <w:t>合同协议书；</w:t>
      </w:r>
    </w:p>
    <w:p w14:paraId="375E6BF4">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7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6"/>
          <w:sz w:val="30"/>
          <w:szCs w:val="30"/>
        </w:rPr>
        <w:t>(2</w:t>
      </w:r>
      <w:r>
        <w:rPr>
          <w:rFonts w:hint="eastAsia" w:ascii="仿宋" w:hAnsi="仿宋" w:eastAsia="仿宋" w:cs="仿宋"/>
          <w:b w:val="0"/>
          <w:bCs/>
          <w:color w:val="auto"/>
          <w:spacing w:val="26"/>
          <w:sz w:val="30"/>
          <w:szCs w:val="30"/>
          <w:lang w:eastAsia="zh-CN"/>
        </w:rPr>
        <w:t>)</w:t>
      </w:r>
      <w:r>
        <w:rPr>
          <w:rFonts w:hint="eastAsia" w:ascii="仿宋" w:hAnsi="仿宋" w:eastAsia="仿宋" w:cs="仿宋"/>
          <w:b w:val="0"/>
          <w:bCs/>
          <w:color w:val="auto"/>
          <w:spacing w:val="26"/>
          <w:sz w:val="30"/>
          <w:szCs w:val="30"/>
        </w:rPr>
        <w:t>中标通知书</w:t>
      </w:r>
      <w:r>
        <w:rPr>
          <w:rFonts w:hint="eastAsia" w:ascii="仿宋" w:hAnsi="仿宋" w:eastAsia="仿宋" w:cs="仿宋"/>
          <w:b w:val="0"/>
          <w:bCs/>
          <w:color w:val="auto"/>
          <w:spacing w:val="26"/>
          <w:sz w:val="30"/>
          <w:szCs w:val="30"/>
          <w:lang w:eastAsia="zh-CN"/>
        </w:rPr>
        <w:t>（</w:t>
      </w:r>
      <w:r>
        <w:rPr>
          <w:rFonts w:hint="eastAsia" w:ascii="仿宋" w:hAnsi="仿宋" w:eastAsia="仿宋" w:cs="仿宋"/>
          <w:b w:val="0"/>
          <w:bCs/>
          <w:color w:val="auto"/>
          <w:spacing w:val="26"/>
          <w:sz w:val="30"/>
          <w:szCs w:val="30"/>
        </w:rPr>
        <w:t>如果有</w:t>
      </w:r>
      <w:r>
        <w:rPr>
          <w:rFonts w:hint="eastAsia" w:ascii="仿宋" w:hAnsi="仿宋" w:eastAsia="仿宋" w:cs="仿宋"/>
          <w:b w:val="0"/>
          <w:bCs/>
          <w:color w:val="auto"/>
          <w:spacing w:val="26"/>
          <w:sz w:val="30"/>
          <w:szCs w:val="30"/>
          <w:lang w:eastAsia="zh-CN"/>
        </w:rPr>
        <w:t>）</w:t>
      </w:r>
      <w:r>
        <w:rPr>
          <w:rFonts w:hint="eastAsia" w:ascii="仿宋" w:hAnsi="仿宋" w:eastAsia="仿宋" w:cs="仿宋"/>
          <w:b w:val="0"/>
          <w:bCs/>
          <w:color w:val="auto"/>
          <w:spacing w:val="24"/>
          <w:sz w:val="30"/>
          <w:szCs w:val="30"/>
        </w:rPr>
        <w:t>；</w:t>
      </w:r>
    </w:p>
    <w:p w14:paraId="5FE0FD11">
      <w:pPr>
        <w:keepNext w:val="0"/>
        <w:keepLines w:val="0"/>
        <w:pageBreakBefore w:val="0"/>
        <w:widowControl w:val="0"/>
        <w:kinsoku/>
        <w:wordWrap/>
        <w:overflowPunct w:val="0"/>
        <w:topLinePunct w:val="0"/>
        <w:autoSpaceDE w:val="0"/>
        <w:autoSpaceDN w:val="0"/>
        <w:bidi w:val="0"/>
        <w:adjustRightInd w:val="0"/>
        <w:snapToGrid w:val="0"/>
        <w:spacing w:before="68" w:line="500" w:lineRule="exact"/>
        <w:ind w:firstLine="6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4"/>
          <w:sz w:val="30"/>
          <w:szCs w:val="30"/>
        </w:rPr>
        <w:t>(</w:t>
      </w:r>
      <w:r>
        <w:rPr>
          <w:rFonts w:hint="eastAsia" w:ascii="仿宋" w:hAnsi="仿宋" w:eastAsia="仿宋" w:cs="仿宋"/>
          <w:b w:val="0"/>
          <w:bCs/>
          <w:color w:val="auto"/>
          <w:spacing w:val="20"/>
          <w:sz w:val="30"/>
          <w:szCs w:val="30"/>
        </w:rPr>
        <w:t>3</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投标函及投标函附录</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如果有</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w:t>
      </w:r>
    </w:p>
    <w:p w14:paraId="517A603B">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5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4"/>
          <w:sz w:val="30"/>
          <w:szCs w:val="30"/>
        </w:rPr>
        <w:t>(</w:t>
      </w:r>
      <w:r>
        <w:rPr>
          <w:rFonts w:hint="eastAsia" w:ascii="仿宋" w:hAnsi="仿宋" w:eastAsia="仿宋" w:cs="仿宋"/>
          <w:b w:val="0"/>
          <w:bCs/>
          <w:color w:val="auto"/>
          <w:spacing w:val="9"/>
          <w:sz w:val="30"/>
          <w:szCs w:val="30"/>
        </w:rPr>
        <w:t>4</w:t>
      </w:r>
      <w:r>
        <w:rPr>
          <w:rFonts w:hint="eastAsia" w:ascii="仿宋" w:hAnsi="仿宋" w:eastAsia="仿宋" w:cs="仿宋"/>
          <w:b w:val="0"/>
          <w:bCs/>
          <w:color w:val="auto"/>
          <w:spacing w:val="9"/>
          <w:sz w:val="30"/>
          <w:szCs w:val="30"/>
          <w:lang w:eastAsia="zh-CN"/>
        </w:rPr>
        <w:t>)</w:t>
      </w:r>
      <w:r>
        <w:rPr>
          <w:rFonts w:hint="eastAsia" w:ascii="仿宋" w:hAnsi="仿宋" w:eastAsia="仿宋" w:cs="仿宋"/>
          <w:b w:val="0"/>
          <w:bCs/>
          <w:color w:val="auto"/>
          <w:spacing w:val="7"/>
          <w:sz w:val="30"/>
          <w:szCs w:val="30"/>
        </w:rPr>
        <w:t>专用合同条件及《发包人要求》等附件；</w:t>
      </w:r>
    </w:p>
    <w:p w14:paraId="7D471C3D">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6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5"/>
          <w:sz w:val="30"/>
          <w:szCs w:val="30"/>
        </w:rPr>
        <w:t>(5</w:t>
      </w:r>
      <w:r>
        <w:rPr>
          <w:rFonts w:hint="eastAsia" w:ascii="仿宋" w:hAnsi="仿宋" w:eastAsia="仿宋" w:cs="仿宋"/>
          <w:b w:val="0"/>
          <w:bCs/>
          <w:color w:val="auto"/>
          <w:spacing w:val="15"/>
          <w:sz w:val="30"/>
          <w:szCs w:val="30"/>
          <w:lang w:eastAsia="zh-CN"/>
        </w:rPr>
        <w:t>)</w:t>
      </w:r>
      <w:r>
        <w:rPr>
          <w:rFonts w:hint="eastAsia" w:ascii="仿宋" w:hAnsi="仿宋" w:eastAsia="仿宋" w:cs="仿宋"/>
          <w:b w:val="0"/>
          <w:bCs/>
          <w:color w:val="auto"/>
          <w:spacing w:val="15"/>
          <w:sz w:val="30"/>
          <w:szCs w:val="30"/>
        </w:rPr>
        <w:t>通用合同条件；</w:t>
      </w:r>
    </w:p>
    <w:p w14:paraId="50029B30">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7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8"/>
          <w:sz w:val="30"/>
          <w:szCs w:val="30"/>
        </w:rPr>
        <w:t>(</w:t>
      </w:r>
      <w:r>
        <w:rPr>
          <w:rFonts w:hint="eastAsia" w:ascii="仿宋" w:hAnsi="仿宋" w:eastAsia="仿宋" w:cs="仿宋"/>
          <w:b w:val="0"/>
          <w:bCs/>
          <w:color w:val="auto"/>
          <w:spacing w:val="9"/>
          <w:sz w:val="30"/>
          <w:szCs w:val="30"/>
        </w:rPr>
        <w:t>6</w:t>
      </w:r>
      <w:r>
        <w:rPr>
          <w:rFonts w:hint="eastAsia" w:ascii="仿宋" w:hAnsi="仿宋" w:eastAsia="仿宋" w:cs="仿宋"/>
          <w:b w:val="0"/>
          <w:bCs/>
          <w:color w:val="auto"/>
          <w:spacing w:val="9"/>
          <w:sz w:val="30"/>
          <w:szCs w:val="30"/>
          <w:lang w:eastAsia="zh-CN"/>
        </w:rPr>
        <w:t>)</w:t>
      </w:r>
      <w:r>
        <w:rPr>
          <w:rFonts w:hint="eastAsia" w:ascii="仿宋" w:hAnsi="仿宋" w:eastAsia="仿宋" w:cs="仿宋"/>
          <w:b w:val="0"/>
          <w:bCs/>
          <w:color w:val="auto"/>
          <w:spacing w:val="9"/>
          <w:sz w:val="30"/>
          <w:szCs w:val="30"/>
        </w:rPr>
        <w:t>招标文件及其澄清修改文件；</w:t>
      </w:r>
    </w:p>
    <w:p w14:paraId="40F43B48">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4"/>
          <w:sz w:val="30"/>
          <w:szCs w:val="30"/>
        </w:rPr>
        <w:t>(</w:t>
      </w:r>
      <w:r>
        <w:rPr>
          <w:rFonts w:hint="eastAsia" w:ascii="仿宋" w:hAnsi="仿宋" w:eastAsia="仿宋" w:cs="仿宋"/>
          <w:b w:val="0"/>
          <w:bCs/>
          <w:color w:val="auto"/>
          <w:spacing w:val="20"/>
          <w:sz w:val="30"/>
          <w:szCs w:val="30"/>
        </w:rPr>
        <w:t>7</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投标文件和</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或</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承包人建议书；</w:t>
      </w:r>
    </w:p>
    <w:p w14:paraId="5BBA4E33">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3"/>
          <w:sz w:val="30"/>
          <w:szCs w:val="30"/>
        </w:rPr>
        <w:t>(</w:t>
      </w:r>
      <w:r>
        <w:rPr>
          <w:rFonts w:hint="eastAsia" w:ascii="仿宋" w:hAnsi="仿宋" w:eastAsia="仿宋" w:cs="仿宋"/>
          <w:b w:val="0"/>
          <w:bCs/>
          <w:color w:val="auto"/>
          <w:spacing w:val="18"/>
          <w:sz w:val="30"/>
          <w:szCs w:val="30"/>
        </w:rPr>
        <w:t>8</w:t>
      </w:r>
      <w:r>
        <w:rPr>
          <w:rFonts w:hint="eastAsia" w:ascii="仿宋" w:hAnsi="仿宋" w:eastAsia="仿宋" w:cs="仿宋"/>
          <w:b w:val="0"/>
          <w:bCs/>
          <w:color w:val="auto"/>
          <w:spacing w:val="18"/>
          <w:sz w:val="30"/>
          <w:szCs w:val="30"/>
          <w:lang w:eastAsia="zh-CN"/>
        </w:rPr>
        <w:t>)</w:t>
      </w:r>
      <w:r>
        <w:rPr>
          <w:rFonts w:hint="eastAsia" w:ascii="仿宋" w:hAnsi="仿宋" w:eastAsia="仿宋" w:cs="仿宋"/>
          <w:b w:val="0"/>
          <w:bCs/>
          <w:color w:val="auto"/>
          <w:spacing w:val="18"/>
          <w:sz w:val="30"/>
          <w:szCs w:val="30"/>
        </w:rPr>
        <w:t>价格清单；</w:t>
      </w:r>
    </w:p>
    <w:p w14:paraId="5EA940CD">
      <w:pPr>
        <w:spacing w:line="360" w:lineRule="auto"/>
        <w:ind w:firstLine="672" w:firstLineChars="200"/>
        <w:rPr>
          <w:rFonts w:hint="eastAsia" w:ascii="Times New Roman" w:hAnsi="Times New Roman" w:eastAsia="仿宋_GB2312"/>
          <w:color w:val="000000"/>
          <w:sz w:val="30"/>
          <w:szCs w:val="32"/>
        </w:rPr>
      </w:pPr>
      <w:r>
        <w:rPr>
          <w:rFonts w:hint="eastAsia" w:ascii="仿宋" w:hAnsi="仿宋" w:eastAsia="仿宋" w:cs="仿宋"/>
          <w:b w:val="0"/>
          <w:bCs/>
          <w:color w:val="auto"/>
          <w:spacing w:val="18"/>
          <w:sz w:val="30"/>
          <w:szCs w:val="30"/>
        </w:rPr>
        <w:t>(</w:t>
      </w:r>
      <w:r>
        <w:rPr>
          <w:rFonts w:hint="eastAsia" w:ascii="仿宋" w:hAnsi="仿宋" w:eastAsia="仿宋" w:cs="仿宋"/>
          <w:b w:val="0"/>
          <w:bCs/>
          <w:color w:val="auto"/>
          <w:spacing w:val="11"/>
          <w:sz w:val="30"/>
          <w:szCs w:val="30"/>
        </w:rPr>
        <w:t>9</w:t>
      </w:r>
      <w:r>
        <w:rPr>
          <w:rFonts w:hint="eastAsia" w:ascii="仿宋" w:hAnsi="仿宋" w:eastAsia="仿宋" w:cs="仿宋"/>
          <w:b w:val="0"/>
          <w:bCs/>
          <w:color w:val="auto"/>
          <w:spacing w:val="11"/>
          <w:sz w:val="30"/>
          <w:szCs w:val="30"/>
          <w:lang w:eastAsia="zh-CN"/>
        </w:rPr>
        <w:t>)</w:t>
      </w:r>
      <w:r>
        <w:rPr>
          <w:rFonts w:hint="eastAsia" w:ascii="仿宋" w:hAnsi="仿宋" w:eastAsia="仿宋" w:cs="仿宋"/>
          <w:b w:val="0"/>
          <w:bCs/>
          <w:color w:val="auto"/>
          <w:spacing w:val="11"/>
          <w:sz w:val="30"/>
          <w:szCs w:val="30"/>
        </w:rPr>
        <w:t>双方约定的其他合同文件。</w:t>
      </w:r>
    </w:p>
    <w:p w14:paraId="55FCD95A">
      <w:pPr>
        <w:spacing w:after="120" w:line="360" w:lineRule="auto"/>
        <w:ind w:firstLine="600" w:firstLineChars="200"/>
        <w:outlineLvl w:val="0"/>
        <w:rPr>
          <w:rFonts w:ascii="Times New Roman" w:hAnsi="Times New Roman" w:eastAsia="黑体"/>
          <w:color w:val="000000"/>
          <w:sz w:val="30"/>
          <w:szCs w:val="32"/>
        </w:rPr>
      </w:pPr>
      <w:bookmarkStart w:id="503" w:name="_Toc27843"/>
      <w:r>
        <w:rPr>
          <w:rFonts w:ascii="Times New Roman" w:hAnsi="Times New Roman" w:eastAsia="黑体"/>
          <w:color w:val="000000"/>
          <w:sz w:val="30"/>
          <w:szCs w:val="32"/>
        </w:rPr>
        <w:t>1.6 图纸和承包人文件</w:t>
      </w:r>
      <w:bookmarkEnd w:id="503"/>
      <w:r>
        <w:rPr>
          <w:rFonts w:ascii="Times New Roman" w:hAnsi="Times New Roman" w:eastAsia="黑体"/>
          <w:color w:val="000000"/>
          <w:sz w:val="30"/>
          <w:szCs w:val="32"/>
        </w:rPr>
        <w:tab/>
      </w:r>
    </w:p>
    <w:p w14:paraId="52E63634">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1.6.1 图纸的提供</w:t>
      </w:r>
    </w:p>
    <w:p w14:paraId="32D46A1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发包人向承包人提供图纸的期限：</w:t>
      </w:r>
      <w:r>
        <w:rPr>
          <w:rFonts w:hint="eastAsia" w:ascii="Times New Roman" w:hAnsi="Times New Roman" w:eastAsia="仿宋_GB2312"/>
          <w:color w:val="000000"/>
          <w:sz w:val="30"/>
          <w:szCs w:val="32"/>
          <w:u w:val="single"/>
        </w:rPr>
        <w:t>签订合同后3日内</w:t>
      </w:r>
      <w:r>
        <w:rPr>
          <w:rFonts w:ascii="Times New Roman" w:hAnsi="Times New Roman" w:eastAsia="仿宋_GB2312"/>
          <w:color w:val="000000"/>
          <w:sz w:val="30"/>
          <w:szCs w:val="32"/>
        </w:rPr>
        <w:t>；</w:t>
      </w:r>
    </w:p>
    <w:p w14:paraId="5A3D8A6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发包人向承包人提供图纸的数量：</w:t>
      </w:r>
      <w:r>
        <w:rPr>
          <w:rFonts w:hint="eastAsia" w:ascii="Times New Roman" w:hAnsi="Times New Roman" w:eastAsia="仿宋_GB2312" w:cs="Times New Roman"/>
          <w:color w:val="000000"/>
          <w:sz w:val="30"/>
          <w:szCs w:val="32"/>
          <w:u w:val="single"/>
        </w:rPr>
        <w:t>由发包人提供2套图纸，如果承包人要求增加所提供图纸套数，费用由承包人承担</w:t>
      </w:r>
      <w:r>
        <w:rPr>
          <w:rFonts w:ascii="Times New Roman" w:hAnsi="Times New Roman" w:eastAsia="仿宋_GB2312"/>
          <w:color w:val="000000"/>
          <w:sz w:val="30"/>
          <w:szCs w:val="32"/>
        </w:rPr>
        <w:t>；</w:t>
      </w:r>
    </w:p>
    <w:p w14:paraId="692821D3">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发包人向承包人提供图纸的内容：</w:t>
      </w:r>
      <w:r>
        <w:rPr>
          <w:rFonts w:hint="eastAsia" w:ascii="Times New Roman" w:hAnsi="Times New Roman" w:eastAsia="仿宋_GB2312"/>
          <w:color w:val="000000"/>
          <w:sz w:val="30"/>
          <w:szCs w:val="32"/>
          <w:u w:val="single"/>
          <w:lang w:val="en-US" w:eastAsia="zh-CN"/>
        </w:rPr>
        <w:t xml:space="preserve">   项目施工图</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4E9A0A37">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1.6.4 承包人文件</w:t>
      </w:r>
    </w:p>
    <w:p w14:paraId="48812CC6">
      <w:pPr>
        <w:spacing w:line="360" w:lineRule="auto"/>
        <w:ind w:left="596" w:leftChars="284"/>
        <w:jc w:val="left"/>
        <w:rPr>
          <w:rFonts w:ascii="Times New Roman" w:hAnsi="Times New Roman" w:eastAsia="仿宋_GB2312"/>
          <w:color w:val="000000"/>
          <w:sz w:val="30"/>
          <w:szCs w:val="32"/>
        </w:rPr>
      </w:pPr>
      <w:r>
        <w:rPr>
          <w:rFonts w:ascii="Times New Roman" w:hAnsi="Times New Roman" w:eastAsia="仿宋_GB2312"/>
          <w:color w:val="000000"/>
          <w:sz w:val="30"/>
          <w:szCs w:val="32"/>
        </w:rPr>
        <w:t>需要由承包人提供的文件，包括：</w:t>
      </w:r>
      <w:r>
        <w:rPr>
          <w:rFonts w:hint="eastAsia" w:ascii="Times New Roman" w:hAnsi="Times New Roman" w:eastAsia="仿宋_GB2312"/>
          <w:color w:val="000000"/>
          <w:sz w:val="30"/>
          <w:szCs w:val="32"/>
          <w:u w:val="single"/>
        </w:rPr>
        <w:t>施工组织设计和进度计划、专项施工方案、安全应急方案、施工扬尘专项控制方案以及按发包人要求提供的其他相关资料</w:t>
      </w:r>
      <w:r>
        <w:rPr>
          <w:rFonts w:ascii="Times New Roman" w:hAnsi="Times New Roman" w:eastAsia="仿宋_GB2312"/>
          <w:color w:val="000000"/>
          <w:sz w:val="30"/>
          <w:szCs w:val="32"/>
        </w:rPr>
        <w:t>；</w:t>
      </w:r>
    </w:p>
    <w:p w14:paraId="1B98EF5B">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承包人提供的文件的期限为：</w:t>
      </w:r>
      <w:r>
        <w:rPr>
          <w:rFonts w:hint="eastAsia" w:ascii="Times New Roman" w:hAnsi="Times New Roman" w:eastAsia="仿宋_GB2312"/>
          <w:color w:val="000000"/>
          <w:sz w:val="30"/>
          <w:szCs w:val="32"/>
          <w:u w:val="single"/>
        </w:rPr>
        <w:t>图纸会审交底后并在距开工令发出7天前</w:t>
      </w:r>
      <w:r>
        <w:rPr>
          <w:rFonts w:ascii="Times New Roman" w:hAnsi="Times New Roman" w:eastAsia="仿宋_GB2312"/>
          <w:color w:val="000000"/>
          <w:sz w:val="30"/>
          <w:szCs w:val="32"/>
          <w:u w:val="single"/>
        </w:rPr>
        <w:t>；</w:t>
      </w:r>
    </w:p>
    <w:p w14:paraId="17110F03">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承包人提供的文件的数量为：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一式4套</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2C9BA139">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承包人提供的文件的形式为：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纸质和电子形式</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451833A8">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w:t>
      </w:r>
      <w:r>
        <w:rPr>
          <w:rFonts w:hint="eastAsia" w:ascii="Times New Roman" w:hAnsi="Times New Roman" w:eastAsia="仿宋_GB2312"/>
          <w:color w:val="000000"/>
          <w:sz w:val="30"/>
          <w:szCs w:val="32"/>
        </w:rPr>
        <w:t>审批</w:t>
      </w:r>
      <w:r>
        <w:rPr>
          <w:rFonts w:ascii="Times New Roman" w:hAnsi="Times New Roman" w:eastAsia="仿宋_GB2312"/>
          <w:color w:val="000000"/>
          <w:sz w:val="30"/>
          <w:szCs w:val="32"/>
        </w:rPr>
        <w:t>承包人文件的期限：</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lang w:val="en-US" w:eastAsia="zh-CN"/>
        </w:rPr>
        <w:t>7个工作日</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54600A0D">
      <w:pPr>
        <w:spacing w:after="120" w:line="360" w:lineRule="auto"/>
        <w:ind w:firstLine="600" w:firstLineChars="200"/>
        <w:outlineLvl w:val="0"/>
        <w:rPr>
          <w:rFonts w:ascii="Times New Roman" w:hAnsi="Times New Roman" w:eastAsia="黑体"/>
          <w:color w:val="000000"/>
          <w:sz w:val="30"/>
          <w:szCs w:val="32"/>
        </w:rPr>
      </w:pPr>
      <w:bookmarkStart w:id="504" w:name="_Toc3995"/>
      <w:r>
        <w:rPr>
          <w:rFonts w:ascii="Times New Roman" w:hAnsi="Times New Roman" w:eastAsia="黑体"/>
          <w:color w:val="000000"/>
          <w:sz w:val="30"/>
          <w:szCs w:val="32"/>
        </w:rPr>
        <w:t>1.7 联络</w:t>
      </w:r>
      <w:bookmarkEnd w:id="504"/>
    </w:p>
    <w:p w14:paraId="5DE5D98A">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1.7.1发包人和承包人应当在</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1</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30"/>
          <w:szCs w:val="32"/>
        </w:rPr>
        <w:t>。</w:t>
      </w:r>
    </w:p>
    <w:p w14:paraId="2BAA4CDC">
      <w:pPr>
        <w:spacing w:line="360" w:lineRule="auto"/>
        <w:ind w:firstLine="600" w:firstLineChars="200"/>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1.7.2 发包人接收文件的地点：</w:t>
      </w:r>
      <w:r>
        <w:rPr>
          <w:rFonts w:hint="eastAsia" w:ascii="Times New Roman" w:hAnsi="Times New Roman" w:eastAsia="仿宋_GB2312"/>
          <w:color w:val="000000"/>
          <w:kern w:val="0"/>
          <w:sz w:val="30"/>
          <w:szCs w:val="32"/>
          <w:u w:val="single"/>
        </w:rPr>
        <w:t>重庆市铜梁区东城街道龙安大道29号科创中心</w:t>
      </w:r>
      <w:r>
        <w:rPr>
          <w:rFonts w:ascii="Times New Roman" w:hAnsi="Times New Roman" w:eastAsia="仿宋_GB2312"/>
          <w:color w:val="000000"/>
          <w:kern w:val="0"/>
          <w:sz w:val="30"/>
          <w:szCs w:val="32"/>
          <w:u w:val="single"/>
        </w:rPr>
        <w:t>；</w:t>
      </w:r>
    </w:p>
    <w:p w14:paraId="34DBDAE5">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2B52A3F8">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承包人接收文件的地点：</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47CF274A">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346F945A">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监理人接收文件的地点：</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1E1F4DF1">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155704CE">
      <w:pPr>
        <w:spacing w:after="120" w:line="360" w:lineRule="auto"/>
        <w:ind w:firstLine="600" w:firstLineChars="200"/>
        <w:outlineLvl w:val="0"/>
        <w:rPr>
          <w:rFonts w:ascii="Times New Roman" w:hAnsi="Times New Roman" w:eastAsia="黑体"/>
          <w:color w:val="000000"/>
          <w:sz w:val="30"/>
          <w:szCs w:val="32"/>
        </w:rPr>
      </w:pPr>
      <w:bookmarkStart w:id="505" w:name="_Toc13603"/>
      <w:r>
        <w:rPr>
          <w:rFonts w:ascii="Times New Roman" w:hAnsi="Times New Roman" w:eastAsia="黑体"/>
          <w:color w:val="000000"/>
          <w:sz w:val="30"/>
          <w:szCs w:val="32"/>
        </w:rPr>
        <w:t>1.10 交通运输</w:t>
      </w:r>
      <w:bookmarkEnd w:id="505"/>
    </w:p>
    <w:p w14:paraId="774F83C4">
      <w:pPr>
        <w:spacing w:line="360" w:lineRule="auto"/>
        <w:ind w:firstLine="600" w:firstLineChars="200"/>
        <w:outlineLvl w:val="0"/>
        <w:rPr>
          <w:rFonts w:ascii="Times New Roman" w:hAnsi="Times New Roman" w:eastAsia="仿宋_GB2312"/>
          <w:sz w:val="30"/>
          <w:szCs w:val="32"/>
        </w:rPr>
      </w:pPr>
      <w:bookmarkStart w:id="506" w:name="_Toc27147"/>
      <w:r>
        <w:rPr>
          <w:rFonts w:ascii="Times New Roman" w:hAnsi="Times New Roman" w:eastAsia="仿宋_GB2312"/>
          <w:sz w:val="30"/>
          <w:szCs w:val="32"/>
        </w:rPr>
        <w:t>1</w:t>
      </w:r>
      <w:bookmarkStart w:id="507" w:name="_Toc304295521"/>
      <w:bookmarkStart w:id="508" w:name="_Toc318581155"/>
      <w:bookmarkStart w:id="509" w:name="_Toc300934943"/>
      <w:bookmarkStart w:id="510" w:name="_Toc312677986"/>
      <w:bookmarkStart w:id="511" w:name="_Toc303539100"/>
      <w:r>
        <w:rPr>
          <w:rFonts w:ascii="Times New Roman" w:hAnsi="Times New Roman" w:eastAsia="仿宋_GB2312"/>
          <w:sz w:val="30"/>
          <w:szCs w:val="32"/>
        </w:rPr>
        <w:t>.10.1 出入现场的权利</w:t>
      </w:r>
      <w:bookmarkEnd w:id="506"/>
    </w:p>
    <w:p w14:paraId="6A449A45">
      <w:pPr>
        <w:spacing w:line="360" w:lineRule="auto"/>
        <w:rPr>
          <w:rFonts w:ascii="Times New Roman" w:hAnsi="Times New Roman" w:eastAsia="仿宋_GB2312"/>
          <w:sz w:val="30"/>
          <w:szCs w:val="32"/>
        </w:rPr>
      </w:pPr>
      <w:r>
        <w:rPr>
          <w:rFonts w:ascii="Times New Roman" w:hAnsi="Times New Roman" w:eastAsia="仿宋_GB2312"/>
          <w:sz w:val="30"/>
          <w:szCs w:val="32"/>
        </w:rPr>
        <w:t>关于出入现场的权利的约定：</w:t>
      </w:r>
      <w:r>
        <w:rPr>
          <w:rFonts w:hint="eastAsia" w:ascii="Times New Roman" w:hAnsi="Times New Roman" w:eastAsia="仿宋_GB2312"/>
          <w:sz w:val="30"/>
          <w:szCs w:val="32"/>
          <w:u w:val="single"/>
        </w:rPr>
        <w:t>承包人应根据施工需要，负责取得出入施工现场所需的批准手续和全部权利，以及取得因施工所需修建道路、桥梁以及其他基础设施的权利。发包人应协助承包人办理修建场内外道路、桥梁以及其他基础设施的手续。承包人负责管理出入施工现场的所有人员及相关车辆，若因承包人管理不善，导致社会人员、车辆进入及工程车辆超重等原因造成的一切损失由承包人自行负责</w:t>
      </w:r>
      <w:r>
        <w:rPr>
          <w:rFonts w:ascii="Times New Roman" w:hAnsi="Times New Roman" w:eastAsia="仿宋_GB2312"/>
          <w:sz w:val="30"/>
          <w:szCs w:val="32"/>
          <w:u w:val="single"/>
        </w:rPr>
        <w:t>。</w:t>
      </w:r>
    </w:p>
    <w:bookmarkEnd w:id="507"/>
    <w:bookmarkEnd w:id="508"/>
    <w:bookmarkEnd w:id="509"/>
    <w:bookmarkEnd w:id="510"/>
    <w:bookmarkEnd w:id="511"/>
    <w:p w14:paraId="43ED5AF2">
      <w:pPr>
        <w:spacing w:line="360" w:lineRule="auto"/>
        <w:ind w:firstLine="600" w:firstLineChars="200"/>
        <w:jc w:val="left"/>
        <w:outlineLvl w:val="0"/>
        <w:rPr>
          <w:rFonts w:ascii="Times New Roman" w:hAnsi="Times New Roman" w:eastAsia="仿宋_GB2312"/>
          <w:sz w:val="30"/>
          <w:szCs w:val="32"/>
        </w:rPr>
      </w:pPr>
      <w:bookmarkStart w:id="512" w:name="_Toc11206"/>
      <w:r>
        <w:rPr>
          <w:rFonts w:ascii="Times New Roman" w:hAnsi="Times New Roman" w:eastAsia="仿宋_GB2312"/>
          <w:sz w:val="30"/>
          <w:szCs w:val="32"/>
        </w:rPr>
        <w:t>1</w:t>
      </w:r>
      <w:bookmarkStart w:id="513" w:name="_Toc318581156"/>
      <w:bookmarkStart w:id="514" w:name="_Toc300934944"/>
      <w:bookmarkStart w:id="515" w:name="_Toc303539101"/>
      <w:bookmarkStart w:id="516" w:name="_Toc312677987"/>
      <w:bookmarkStart w:id="517" w:name="_Toc304295522"/>
      <w:r>
        <w:rPr>
          <w:rFonts w:ascii="Times New Roman" w:hAnsi="Times New Roman" w:eastAsia="仿宋_GB2312"/>
          <w:sz w:val="30"/>
          <w:szCs w:val="32"/>
        </w:rPr>
        <w:t>.10.3 场内交通</w:t>
      </w:r>
      <w:bookmarkEnd w:id="512"/>
    </w:p>
    <w:p w14:paraId="1337B194">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关于场外交通和场内交通的边界的约定：</w:t>
      </w:r>
      <w:r>
        <w:rPr>
          <w:rFonts w:hint="eastAsia" w:ascii="Times New Roman" w:hAnsi="Times New Roman" w:eastAsia="仿宋_GB2312"/>
          <w:color w:val="000000"/>
          <w:kern w:val="0"/>
          <w:sz w:val="30"/>
          <w:szCs w:val="32"/>
          <w:u w:val="single"/>
        </w:rPr>
        <w:t>以合同工程用地红线为界，用地红线范围内为场内交通（场外道路穿越场内的除外），用地红线外为场外交通</w:t>
      </w:r>
      <w:r>
        <w:rPr>
          <w:rFonts w:ascii="Times New Roman" w:hAnsi="Times New Roman" w:eastAsia="仿宋_GB2312"/>
          <w:sz w:val="30"/>
          <w:szCs w:val="32"/>
          <w:u w:val="single"/>
        </w:rPr>
        <w:t>。</w:t>
      </w:r>
    </w:p>
    <w:p w14:paraId="537397FD">
      <w:pPr>
        <w:spacing w:line="360" w:lineRule="auto"/>
        <w:ind w:firstLine="600" w:firstLineChars="200"/>
        <w:jc w:val="left"/>
        <w:rPr>
          <w:rFonts w:ascii="Times New Roman" w:hAnsi="Times New Roman" w:eastAsia="仿宋_GB2312"/>
          <w:sz w:val="30"/>
          <w:szCs w:val="32"/>
          <w:u w:val="single"/>
        </w:rPr>
      </w:pPr>
      <w:r>
        <w:rPr>
          <w:rFonts w:hint="eastAsia" w:ascii="Times New Roman" w:hAnsi="Times New Roman" w:eastAsia="仿宋_GB2312"/>
          <w:sz w:val="30"/>
          <w:szCs w:val="32"/>
          <w:u w:val="single"/>
        </w:rPr>
        <w:t>承包人应遵守有关交通法规规定，执行有关道路限速、限行、禁止超载的规定，并配合交通管理部门的监督和检查，不得影响正常交通，且工程建设完毕后负有场内交通恢复原状的责任，并承担相应费用。交通设施维修、养护和管理所需费用由承包人承担，包含在投标报价中</w:t>
      </w:r>
      <w:r>
        <w:rPr>
          <w:rFonts w:ascii="Times New Roman" w:hAnsi="Times New Roman" w:eastAsia="仿宋_GB2312"/>
          <w:sz w:val="30"/>
          <w:szCs w:val="32"/>
          <w:u w:val="single"/>
        </w:rPr>
        <w:t>。</w:t>
      </w:r>
      <w:bookmarkEnd w:id="513"/>
      <w:bookmarkEnd w:id="514"/>
      <w:bookmarkEnd w:id="515"/>
      <w:bookmarkEnd w:id="516"/>
      <w:bookmarkEnd w:id="517"/>
      <w:r>
        <w:rPr>
          <w:rFonts w:ascii="Times New Roman" w:hAnsi="Times New Roman" w:eastAsia="仿宋_GB2312"/>
          <w:sz w:val="30"/>
          <w:szCs w:val="32"/>
          <w:u w:val="single"/>
        </w:rPr>
        <w:t xml:space="preserve">  </w:t>
      </w:r>
      <w:bookmarkStart w:id="518" w:name="_Toc318581157"/>
    </w:p>
    <w:p w14:paraId="614E4F6C">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1.10.4超大件和超重件的运输</w:t>
      </w:r>
    </w:p>
    <w:p w14:paraId="6C92E136">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运输超大件或超重件所需的道路和桥梁临时加固改造费用和其他有关费用由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承包人</w:t>
      </w:r>
      <w:r>
        <w:rPr>
          <w:rFonts w:ascii="Times New Roman" w:hAnsi="Times New Roman" w:eastAsia="仿宋_GB2312"/>
          <w:sz w:val="30"/>
          <w:szCs w:val="32"/>
          <w:u w:val="single"/>
        </w:rPr>
        <w:t xml:space="preserve"> </w:t>
      </w:r>
      <w:r>
        <w:rPr>
          <w:rFonts w:ascii="Times New Roman" w:hAnsi="Times New Roman" w:eastAsia="仿宋_GB2312"/>
          <w:sz w:val="30"/>
          <w:szCs w:val="32"/>
        </w:rPr>
        <w:t>承担。</w:t>
      </w:r>
    </w:p>
    <w:bookmarkEnd w:id="518"/>
    <w:p w14:paraId="1AB679BD">
      <w:pPr>
        <w:spacing w:after="120" w:line="360" w:lineRule="auto"/>
        <w:ind w:firstLine="600" w:firstLineChars="200"/>
        <w:outlineLvl w:val="0"/>
        <w:rPr>
          <w:rFonts w:ascii="Times New Roman" w:hAnsi="Times New Roman" w:eastAsia="黑体"/>
          <w:color w:val="000000"/>
          <w:sz w:val="30"/>
          <w:szCs w:val="32"/>
        </w:rPr>
      </w:pPr>
      <w:bookmarkStart w:id="519" w:name="_Toc4720"/>
      <w:r>
        <w:rPr>
          <w:rFonts w:ascii="Times New Roman" w:hAnsi="Times New Roman" w:eastAsia="黑体"/>
          <w:color w:val="000000"/>
          <w:sz w:val="30"/>
          <w:szCs w:val="32"/>
        </w:rPr>
        <w:t>1.11 知识产权</w:t>
      </w:r>
      <w:bookmarkEnd w:id="519"/>
    </w:p>
    <w:p w14:paraId="17C8C2C6">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000000"/>
          <w:sz w:val="30"/>
          <w:szCs w:val="32"/>
          <w:u w:val="single"/>
        </w:rPr>
        <w:t>属于发包人</w:t>
      </w:r>
      <w:r>
        <w:rPr>
          <w:rFonts w:ascii="Times New Roman" w:hAnsi="Times New Roman" w:eastAsia="仿宋_GB2312"/>
          <w:color w:val="000000"/>
          <w:sz w:val="30"/>
          <w:szCs w:val="32"/>
          <w:u w:val="single"/>
        </w:rPr>
        <w:t>。</w:t>
      </w:r>
    </w:p>
    <w:p w14:paraId="34B6E0D7">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rPr>
        <w:t>1.11.2 关于承包人为实施工程所编制文件的著作权的归属：</w:t>
      </w:r>
      <w:r>
        <w:rPr>
          <w:rFonts w:hint="eastAsia" w:ascii="Times New Roman" w:hAnsi="Times New Roman" w:eastAsia="仿宋_GB2312"/>
          <w:color w:val="000000"/>
          <w:sz w:val="30"/>
          <w:szCs w:val="32"/>
          <w:u w:val="single"/>
        </w:rPr>
        <w:t>属于发包人</w:t>
      </w:r>
      <w:r>
        <w:rPr>
          <w:rFonts w:ascii="Times New Roman" w:hAnsi="Times New Roman" w:eastAsia="仿宋_GB2312"/>
          <w:color w:val="000000"/>
          <w:sz w:val="30"/>
          <w:szCs w:val="32"/>
        </w:rPr>
        <w:t>。</w:t>
      </w:r>
    </w:p>
    <w:p w14:paraId="49DBEA66">
      <w:pPr>
        <w:spacing w:line="360" w:lineRule="auto"/>
        <w:ind w:firstLine="600" w:firstLineChars="200"/>
        <w:outlineLvl w:val="0"/>
        <w:rPr>
          <w:rFonts w:ascii="Times New Roman" w:hAnsi="Times New Roman" w:eastAsia="仿宋_GB2312"/>
          <w:color w:val="C00000"/>
          <w:sz w:val="30"/>
          <w:szCs w:val="32"/>
        </w:rPr>
      </w:pPr>
      <w:bookmarkStart w:id="520" w:name="_Toc13136"/>
      <w:r>
        <w:rPr>
          <w:rFonts w:ascii="Times New Roman" w:hAnsi="Times New Roman" w:eastAsia="仿宋_GB2312"/>
          <w:color w:val="000000"/>
          <w:sz w:val="30"/>
          <w:szCs w:val="32"/>
        </w:rPr>
        <w:t>1.11.4 承包人在施工过程中所采用的专利、专有技术、技术秘密的使用费的承担方式：</w:t>
      </w:r>
      <w:r>
        <w:rPr>
          <w:rFonts w:hint="eastAsia" w:ascii="Times New Roman" w:hAnsi="Times New Roman" w:eastAsia="仿宋_GB2312"/>
          <w:color w:val="000000"/>
          <w:sz w:val="30"/>
          <w:szCs w:val="32"/>
          <w:u w:val="single"/>
        </w:rPr>
        <w:t>承包人为本项目提供的</w:t>
      </w:r>
      <w:r>
        <w:rPr>
          <w:rFonts w:ascii="Times New Roman" w:hAnsi="Times New Roman" w:eastAsia="仿宋_GB2312"/>
          <w:color w:val="000000"/>
          <w:kern w:val="0"/>
          <w:sz w:val="30"/>
          <w:szCs w:val="32"/>
        </w:rPr>
        <w:t>。</w:t>
      </w:r>
      <w:bookmarkEnd w:id="520"/>
    </w:p>
    <w:p w14:paraId="60A8F39F">
      <w:pPr>
        <w:pStyle w:val="7"/>
        <w:spacing w:before="120" w:after="120" w:line="360" w:lineRule="auto"/>
        <w:rPr>
          <w:rFonts w:ascii="Times New Roman" w:hAnsi="Times New Roman" w:eastAsia="黑体"/>
          <w:b w:val="0"/>
          <w:color w:val="000000"/>
          <w:sz w:val="32"/>
          <w:szCs w:val="32"/>
        </w:rPr>
      </w:pPr>
      <w:bookmarkStart w:id="521" w:name="_Toc351203634"/>
      <w:r>
        <w:rPr>
          <w:rFonts w:ascii="Times New Roman" w:hAnsi="Times New Roman" w:eastAsia="黑体"/>
          <w:b w:val="0"/>
          <w:color w:val="000000"/>
          <w:sz w:val="32"/>
          <w:szCs w:val="32"/>
        </w:rPr>
        <w:t>2</w:t>
      </w:r>
      <w:bookmarkStart w:id="522" w:name="_Toc292559362"/>
      <w:bookmarkStart w:id="523" w:name="_Toc292559867"/>
      <w:bookmarkStart w:id="524" w:name="_Toc296890985"/>
      <w:bookmarkStart w:id="525" w:name="_Toc297120457"/>
      <w:bookmarkStart w:id="526" w:name="_Toc296346658"/>
      <w:bookmarkStart w:id="527" w:name="_Toc296503157"/>
      <w:bookmarkStart w:id="528" w:name="_Toc296944496"/>
      <w:bookmarkStart w:id="529" w:name="_Toc296347156"/>
      <w:bookmarkStart w:id="530" w:name="_Toc296891197"/>
      <w:bookmarkStart w:id="531" w:name="_Toc297048343"/>
      <w:r>
        <w:rPr>
          <w:rFonts w:ascii="Times New Roman" w:hAnsi="Times New Roman" w:eastAsia="黑体"/>
          <w:b w:val="0"/>
          <w:color w:val="000000"/>
          <w:sz w:val="32"/>
          <w:szCs w:val="32"/>
        </w:rPr>
        <w:t>. 发包人</w:t>
      </w:r>
      <w:bookmarkEnd w:id="521"/>
    </w:p>
    <w:bookmarkEnd w:id="522"/>
    <w:bookmarkEnd w:id="523"/>
    <w:bookmarkEnd w:id="524"/>
    <w:bookmarkEnd w:id="525"/>
    <w:bookmarkEnd w:id="526"/>
    <w:bookmarkEnd w:id="527"/>
    <w:bookmarkEnd w:id="528"/>
    <w:bookmarkEnd w:id="529"/>
    <w:bookmarkEnd w:id="530"/>
    <w:bookmarkEnd w:id="531"/>
    <w:p w14:paraId="0E61B916">
      <w:pPr>
        <w:spacing w:after="120" w:line="360" w:lineRule="auto"/>
        <w:ind w:firstLine="600" w:firstLineChars="200"/>
        <w:outlineLvl w:val="0"/>
        <w:rPr>
          <w:rFonts w:ascii="Times New Roman" w:hAnsi="Times New Roman" w:eastAsia="黑体"/>
          <w:color w:val="000000"/>
          <w:sz w:val="30"/>
          <w:szCs w:val="32"/>
        </w:rPr>
      </w:pPr>
      <w:bookmarkStart w:id="532" w:name="_Toc2246"/>
      <w:r>
        <w:rPr>
          <w:rFonts w:ascii="Times New Roman" w:hAnsi="Times New Roman" w:eastAsia="黑体"/>
          <w:color w:val="000000"/>
          <w:sz w:val="30"/>
          <w:szCs w:val="32"/>
        </w:rPr>
        <w:t>2.2 发包人代表</w:t>
      </w:r>
      <w:bookmarkEnd w:id="532"/>
    </w:p>
    <w:p w14:paraId="0555EB95">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14:paraId="5EA84CCD">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7AFEBA92">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0022BD34">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4ED6A90F">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0225BC49">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367B4D51">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14:paraId="2C48D69C">
      <w:pPr>
        <w:spacing w:line="360" w:lineRule="auto"/>
        <w:ind w:firstLine="600" w:firstLineChars="200"/>
        <w:rPr>
          <w:rFonts w:ascii="Times New Roman" w:hAnsi="Times New Roman" w:eastAsia="仿宋_GB2312"/>
          <w:b/>
          <w:color w:val="000000"/>
          <w:sz w:val="30"/>
          <w:szCs w:val="32"/>
        </w:rPr>
      </w:pPr>
      <w:r>
        <w:rPr>
          <w:rFonts w:ascii="Times New Roman" w:hAnsi="Times New Roman" w:eastAsia="仿宋_GB2312"/>
          <w:color w:val="000000"/>
          <w:sz w:val="30"/>
          <w:szCs w:val="32"/>
        </w:rPr>
        <w:t>发包人对发包人代表的授权范围如下：</w:t>
      </w:r>
      <w:r>
        <w:rPr>
          <w:rFonts w:hint="eastAsia" w:ascii="Times New Roman" w:hAnsi="Times New Roman" w:eastAsia="仿宋_GB2312"/>
          <w:color w:val="000000"/>
          <w:sz w:val="30"/>
          <w:szCs w:val="32"/>
        </w:rPr>
        <w:t>不</w:t>
      </w:r>
      <w:r>
        <w:rPr>
          <w:rFonts w:hint="eastAsia" w:ascii="Times New Roman" w:hAnsi="Times New Roman" w:eastAsia="仿宋_GB2312"/>
          <w:color w:val="000000"/>
          <w:sz w:val="30"/>
          <w:szCs w:val="32"/>
          <w:u w:val="single"/>
        </w:rPr>
        <w:t>涉及工期延长、工程价款及变更、已完成工程量报告、竣工结算报告、索赔等事项的确认或回复。工期延长、工程价款及变更、已完成工程量报告、竣工结算报告、索赔等事项必须符合本合同相关条款约定并加盖发包人公章。否则，除发包人书面追认外，均属无效，对发包人无任何约束力</w:t>
      </w:r>
      <w:r>
        <w:rPr>
          <w:rFonts w:ascii="Times New Roman" w:hAnsi="Times New Roman" w:eastAsia="仿宋_GB2312"/>
          <w:color w:val="000000"/>
          <w:sz w:val="30"/>
          <w:szCs w:val="32"/>
          <w:u w:val="single"/>
        </w:rPr>
        <w:t>。</w:t>
      </w:r>
    </w:p>
    <w:p w14:paraId="0A74B7A5">
      <w:pPr>
        <w:spacing w:after="120" w:line="360" w:lineRule="auto"/>
        <w:ind w:firstLine="600" w:firstLineChars="200"/>
        <w:outlineLvl w:val="0"/>
        <w:rPr>
          <w:rFonts w:ascii="Times New Roman" w:hAnsi="Times New Roman" w:eastAsia="黑体"/>
          <w:color w:val="000000"/>
          <w:sz w:val="30"/>
          <w:szCs w:val="32"/>
        </w:rPr>
      </w:pPr>
      <w:bookmarkStart w:id="533" w:name="_Toc31762"/>
      <w:r>
        <w:rPr>
          <w:rFonts w:ascii="Times New Roman" w:hAnsi="Times New Roman" w:eastAsia="黑体"/>
          <w:color w:val="000000"/>
          <w:sz w:val="30"/>
          <w:szCs w:val="32"/>
        </w:rPr>
        <w:t>2.4 施工现场、施工条件和基础资料的提供</w:t>
      </w:r>
      <w:bookmarkEnd w:id="533"/>
    </w:p>
    <w:p w14:paraId="7CDF7E5F">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2.4.1 提供施工现场</w:t>
      </w:r>
    </w:p>
    <w:p w14:paraId="27A415AE">
      <w:pPr>
        <w:spacing w:line="360" w:lineRule="auto"/>
        <w:ind w:firstLine="600" w:firstLineChars="200"/>
        <w:jc w:val="left"/>
        <w:rPr>
          <w:rFonts w:hint="eastAsia" w:ascii="Times New Roman" w:hAnsi="Times New Roman" w:eastAsia="仿宋_GB2312"/>
          <w:color w:val="FF0000"/>
          <w:sz w:val="30"/>
          <w:szCs w:val="32"/>
        </w:rPr>
      </w:pPr>
      <w:r>
        <w:rPr>
          <w:rFonts w:hint="eastAsia" w:ascii="Times New Roman" w:hAnsi="Times New Roman" w:eastAsia="仿宋_GB2312"/>
          <w:color w:val="auto"/>
          <w:sz w:val="30"/>
          <w:szCs w:val="32"/>
        </w:rPr>
        <w:t>施工场地的提供采用以下第</w:t>
      </w:r>
      <w:r>
        <w:rPr>
          <w:rFonts w:hint="eastAsia" w:ascii="Times New Roman" w:hAnsi="Times New Roman" w:eastAsia="仿宋_GB2312"/>
          <w:color w:val="auto"/>
          <w:sz w:val="30"/>
          <w:szCs w:val="32"/>
          <w:u w:val="single"/>
          <w:lang w:val="en-US" w:eastAsia="zh-CN"/>
        </w:rPr>
        <w:t xml:space="preserve"> (1) </w:t>
      </w:r>
      <w:r>
        <w:rPr>
          <w:rFonts w:hint="eastAsia" w:ascii="Times New Roman" w:hAnsi="Times New Roman" w:eastAsia="仿宋_GB2312"/>
          <w:color w:val="auto"/>
          <w:sz w:val="30"/>
          <w:szCs w:val="32"/>
        </w:rPr>
        <w:t>种方式：</w:t>
      </w:r>
    </w:p>
    <w:p w14:paraId="68F27809">
      <w:pPr>
        <w:spacing w:line="360" w:lineRule="auto"/>
        <w:ind w:firstLine="600" w:firstLineChars="200"/>
        <w:jc w:val="left"/>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rPr>
        <w:t>(1)一次提供全部施工场地：发包人于开工前向承包人提供合同工程用地红线范围内的施工场地。</w:t>
      </w:r>
    </w:p>
    <w:p w14:paraId="1C87E268">
      <w:pPr>
        <w:spacing w:line="360" w:lineRule="auto"/>
        <w:ind w:firstLine="600" w:firstLineChars="200"/>
        <w:jc w:val="left"/>
        <w:rPr>
          <w:rFonts w:ascii="Times New Roman" w:hAnsi="Times New Roman" w:eastAsia="仿宋_GB2312"/>
          <w:color w:val="auto"/>
          <w:sz w:val="30"/>
          <w:szCs w:val="32"/>
        </w:rPr>
      </w:pPr>
      <w:r>
        <w:rPr>
          <w:rFonts w:hint="eastAsia" w:ascii="Times New Roman" w:hAnsi="Times New Roman" w:eastAsia="仿宋_GB2312"/>
          <w:color w:val="auto"/>
          <w:sz w:val="30"/>
          <w:szCs w:val="32"/>
        </w:rPr>
        <w:t>(2)分次提供全部施工场地：发包人按约定的时间分次向承包人提供合同工程用地红线范围内的施工场地</w:t>
      </w:r>
      <w:r>
        <w:rPr>
          <w:rFonts w:ascii="Times New Roman" w:hAnsi="Times New Roman" w:eastAsia="仿宋_GB2312"/>
          <w:color w:val="auto"/>
          <w:sz w:val="30"/>
          <w:szCs w:val="32"/>
        </w:rPr>
        <w:t>。</w:t>
      </w:r>
    </w:p>
    <w:p w14:paraId="1E00C11E">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2.4.2 提供施工条件</w:t>
      </w:r>
    </w:p>
    <w:p w14:paraId="68ED9B2E">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关于发包人应负责提供施工</w:t>
      </w:r>
      <w:r>
        <w:rPr>
          <w:rFonts w:hint="eastAsia" w:ascii="Times New Roman" w:hAnsi="Times New Roman" w:eastAsia="仿宋_GB2312"/>
          <w:color w:val="000000"/>
          <w:sz w:val="30"/>
          <w:szCs w:val="32"/>
        </w:rPr>
        <w:t>所需要的条件，</w:t>
      </w:r>
      <w:r>
        <w:rPr>
          <w:rFonts w:ascii="Times New Roman" w:hAnsi="Times New Roman" w:eastAsia="仿宋_GB2312"/>
          <w:color w:val="000000"/>
          <w:sz w:val="30"/>
          <w:szCs w:val="32"/>
        </w:rPr>
        <w:t>包括</w:t>
      </w:r>
      <w:r>
        <w:rPr>
          <w:rFonts w:hint="eastAsia" w:ascii="Times New Roman" w:hAnsi="Times New Roman" w:eastAsia="仿宋_GB2312"/>
          <w:color w:val="000000"/>
          <w:sz w:val="30"/>
          <w:szCs w:val="32"/>
          <w:lang w:eastAsia="zh-CN"/>
        </w:rPr>
        <w:t>：</w:t>
      </w:r>
      <w:r>
        <w:rPr>
          <w:rFonts w:hint="eastAsia" w:ascii="Times New Roman" w:hAnsi="Times New Roman" w:eastAsia="仿宋_GB2312"/>
          <w:color w:val="000000"/>
          <w:sz w:val="30"/>
          <w:szCs w:val="32"/>
          <w:u w:val="single"/>
        </w:rPr>
        <w:t>发包人仅配合承包人协调水、电接口，施工用水、用电以及进入施工现场的交通道路所发生的一切费用由承包人自行承担并综合考虑在投标报价中，发包人不再另行支付</w:t>
      </w:r>
      <w:r>
        <w:rPr>
          <w:rFonts w:ascii="Times New Roman" w:hAnsi="Times New Roman" w:eastAsia="仿宋_GB2312"/>
          <w:color w:val="000000"/>
          <w:sz w:val="30"/>
          <w:szCs w:val="32"/>
          <w:u w:val="single"/>
        </w:rPr>
        <w:t>。</w:t>
      </w:r>
    </w:p>
    <w:p w14:paraId="121DD85E">
      <w:pPr>
        <w:pStyle w:val="7"/>
        <w:spacing w:before="120" w:after="120" w:line="360" w:lineRule="auto"/>
        <w:ind w:firstLine="640" w:firstLineChars="200"/>
        <w:rPr>
          <w:rFonts w:ascii="Times New Roman" w:hAnsi="Times New Roman" w:eastAsia="黑体"/>
          <w:b w:val="0"/>
          <w:color w:val="000000"/>
          <w:sz w:val="32"/>
          <w:szCs w:val="32"/>
        </w:rPr>
      </w:pPr>
      <w:bookmarkStart w:id="534" w:name="_Toc351203635"/>
      <w:r>
        <w:rPr>
          <w:rFonts w:ascii="Times New Roman" w:hAnsi="Times New Roman" w:eastAsia="黑体"/>
          <w:b w:val="0"/>
          <w:color w:val="000000"/>
          <w:sz w:val="32"/>
          <w:szCs w:val="32"/>
        </w:rPr>
        <w:t>3</w:t>
      </w:r>
      <w:bookmarkStart w:id="535" w:name="_Toc296944497"/>
      <w:bookmarkStart w:id="536" w:name="_Toc296890986"/>
      <w:bookmarkStart w:id="537" w:name="_Toc296347157"/>
      <w:bookmarkStart w:id="538" w:name="_Toc297120458"/>
      <w:bookmarkStart w:id="539" w:name="_Toc292559868"/>
      <w:bookmarkStart w:id="540" w:name="_Toc296346659"/>
      <w:bookmarkStart w:id="541" w:name="_Toc296503158"/>
      <w:bookmarkStart w:id="542" w:name="_Toc296891198"/>
      <w:bookmarkStart w:id="543" w:name="_Toc297048344"/>
      <w:bookmarkStart w:id="544" w:name="_Toc292559363"/>
      <w:r>
        <w:rPr>
          <w:rFonts w:ascii="Times New Roman" w:hAnsi="Times New Roman" w:eastAsia="黑体"/>
          <w:b w:val="0"/>
          <w:color w:val="000000"/>
          <w:sz w:val="32"/>
          <w:szCs w:val="32"/>
        </w:rPr>
        <w:t>. 承包人</w:t>
      </w:r>
      <w:bookmarkEnd w:id="534"/>
    </w:p>
    <w:bookmarkEnd w:id="535"/>
    <w:bookmarkEnd w:id="536"/>
    <w:bookmarkEnd w:id="537"/>
    <w:bookmarkEnd w:id="538"/>
    <w:bookmarkEnd w:id="539"/>
    <w:bookmarkEnd w:id="540"/>
    <w:bookmarkEnd w:id="541"/>
    <w:bookmarkEnd w:id="542"/>
    <w:bookmarkEnd w:id="543"/>
    <w:bookmarkEnd w:id="544"/>
    <w:p w14:paraId="5FA78E52">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3.1 承包人的一般义务</w:t>
      </w:r>
    </w:p>
    <w:p w14:paraId="77734940">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9</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承包人提交的竣工资料的内容：</w:t>
      </w:r>
      <w:r>
        <w:rPr>
          <w:rFonts w:hint="eastAsia" w:ascii="Times New Roman" w:hAnsi="Times New Roman" w:eastAsia="仿宋_GB2312"/>
          <w:color w:val="000000"/>
          <w:sz w:val="30"/>
          <w:szCs w:val="32"/>
          <w:u w:val="single"/>
        </w:rPr>
        <w:t>工程施工技术资料、工程质量保证资料、工程检验评定资料、竣工图及其他应交资料，应符合《建设工程文件归档整理规范》(GB/T50328-2014)和重庆市有关文件规定。</w:t>
      </w:r>
    </w:p>
    <w:p w14:paraId="266AD888">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承包人需要提交的竣工资料套数：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6套</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4F4F4DEB">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承包人提交的竣工资料的费用承担：</w:t>
      </w:r>
      <w:r>
        <w:rPr>
          <w:rFonts w:hint="eastAsia" w:ascii="Times New Roman" w:hAnsi="Times New Roman" w:eastAsia="仿宋_GB2312"/>
          <w:color w:val="000000"/>
          <w:sz w:val="30"/>
          <w:szCs w:val="32"/>
          <w:u w:val="single"/>
          <w:lang w:val="en-US" w:eastAsia="zh-CN"/>
        </w:rPr>
        <w:t>由</w:t>
      </w:r>
      <w:r>
        <w:rPr>
          <w:rFonts w:ascii="Times New Roman" w:hAnsi="Times New Roman" w:eastAsia="仿宋_GB2312"/>
          <w:color w:val="000000"/>
          <w:sz w:val="30"/>
          <w:szCs w:val="32"/>
          <w:u w:val="single"/>
        </w:rPr>
        <w:t>承包人</w:t>
      </w:r>
      <w:r>
        <w:rPr>
          <w:rFonts w:hint="eastAsia" w:ascii="Times New Roman" w:hAnsi="Times New Roman" w:eastAsia="仿宋_GB2312"/>
          <w:color w:val="000000"/>
          <w:sz w:val="30"/>
          <w:szCs w:val="32"/>
          <w:u w:val="single"/>
          <w:lang w:val="en-US" w:eastAsia="zh-CN"/>
        </w:rPr>
        <w:t>负责</w:t>
      </w:r>
      <w:r>
        <w:rPr>
          <w:rFonts w:ascii="Times New Roman" w:hAnsi="Times New Roman" w:eastAsia="仿宋_GB2312"/>
          <w:color w:val="000000"/>
          <w:sz w:val="30"/>
          <w:szCs w:val="32"/>
        </w:rPr>
        <w:t>。</w:t>
      </w:r>
    </w:p>
    <w:p w14:paraId="46BA8311">
      <w:pPr>
        <w:spacing w:line="360" w:lineRule="auto"/>
        <w:ind w:left="638" w:leftChars="304"/>
        <w:jc w:val="left"/>
        <w:rPr>
          <w:rFonts w:hint="eastAsia" w:ascii="Times New Roman" w:hAnsi="Times New Roman" w:eastAsia="仿宋_GB2312"/>
          <w:color w:val="000000"/>
          <w:sz w:val="30"/>
          <w:szCs w:val="32"/>
          <w:u w:val="single"/>
          <w:lang w:eastAsia="zh-CN"/>
        </w:rPr>
      </w:pPr>
      <w:r>
        <w:rPr>
          <w:rFonts w:ascii="Times New Roman" w:hAnsi="Times New Roman" w:eastAsia="仿宋_GB2312"/>
          <w:color w:val="000000"/>
          <w:sz w:val="30"/>
          <w:szCs w:val="32"/>
        </w:rPr>
        <w:t>承包人提交的竣工资料移交时间：</w:t>
      </w:r>
      <w:r>
        <w:rPr>
          <w:rFonts w:hint="eastAsia" w:ascii="Times New Roman" w:hAnsi="Times New Roman" w:eastAsia="仿宋_GB2312"/>
          <w:color w:val="000000"/>
          <w:sz w:val="30"/>
          <w:szCs w:val="32"/>
          <w:u w:val="single"/>
        </w:rPr>
        <w:t>工程竣工验收合格后 1 个月内移交给发包人</w:t>
      </w:r>
      <w:r>
        <w:rPr>
          <w:rFonts w:hint="eastAsia" w:ascii="Times New Roman" w:hAnsi="Times New Roman" w:eastAsia="仿宋_GB2312"/>
          <w:color w:val="000000"/>
          <w:sz w:val="30"/>
          <w:szCs w:val="32"/>
          <w:u w:val="single"/>
          <w:lang w:eastAsia="zh-CN"/>
        </w:rPr>
        <w:t>。</w:t>
      </w:r>
    </w:p>
    <w:p w14:paraId="374CDA1B">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承包人提交的竣工资料形式要求：</w:t>
      </w:r>
      <w:r>
        <w:rPr>
          <w:rFonts w:hint="eastAsia" w:ascii="Times New Roman" w:hAnsi="Times New Roman" w:eastAsia="仿宋_GB2312"/>
          <w:color w:val="000000"/>
          <w:sz w:val="30"/>
          <w:szCs w:val="32"/>
          <w:u w:val="single"/>
        </w:rPr>
        <w:t>完整的书面文件及电子文档</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69F1104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10</w:t>
      </w:r>
      <w:r>
        <w:rPr>
          <w:rFonts w:ascii="Times New Roman" w:hAnsi="Times New Roman" w:eastAsia="仿宋_GB2312"/>
          <w:color w:val="000000"/>
          <w:kern w:val="0"/>
          <w:sz w:val="30"/>
          <w:szCs w:val="32"/>
        </w:rPr>
        <w:t>）承包人应履行的其他义务：</w:t>
      </w:r>
      <w:r>
        <w:rPr>
          <w:rFonts w:hint="eastAsia" w:ascii="仿宋" w:hAnsi="仿宋" w:eastAsia="仿宋" w:cs="仿宋"/>
          <w:b w:val="0"/>
          <w:bCs/>
          <w:color w:val="auto"/>
          <w:spacing w:val="-2"/>
          <w:sz w:val="28"/>
          <w:szCs w:val="28"/>
          <w:u w:val="single" w:color="auto"/>
        </w:rPr>
        <w:t>满足重庆市及重庆铜梁区档案馆存档要求</w:t>
      </w:r>
      <w:r>
        <w:rPr>
          <w:rFonts w:ascii="Times New Roman" w:hAnsi="Times New Roman" w:eastAsia="仿宋_GB2312"/>
          <w:color w:val="000000"/>
          <w:sz w:val="30"/>
          <w:szCs w:val="32"/>
        </w:rPr>
        <w:t>。</w:t>
      </w:r>
    </w:p>
    <w:p w14:paraId="4E654F77">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3.2 项目经理</w:t>
      </w:r>
    </w:p>
    <w:p w14:paraId="4AFA732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项目经理：</w:t>
      </w:r>
    </w:p>
    <w:p w14:paraId="6FE4AB2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6382AB48">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75EB35A5">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建造师执业资格等级：</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3C11729C">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建造师注册证书号：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7A2B77FE">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建造师执业印章号：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1131D8D7">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安全生产考核合格证书号：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24E6F782">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483AD6FA">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3E9FA721">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203BD598">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承包人对项目经理的授权范围如下：</w:t>
      </w:r>
      <w:r>
        <w:rPr>
          <w:rFonts w:hint="eastAsia" w:ascii="Times New Roman" w:hAnsi="Times New Roman" w:eastAsia="仿宋_GB2312"/>
          <w:color w:val="000000"/>
          <w:sz w:val="30"/>
          <w:szCs w:val="32"/>
          <w:u w:val="single"/>
        </w:rPr>
        <w:t>严格按《发包人要求》、现行国家设计规范、施工规范及验收规范组织设计、采购和施工，保证工程质量、进度、安全；及时向监理人、发包人报告现场情况（以承包人书面授权范围为准）</w:t>
      </w:r>
      <w:r>
        <w:rPr>
          <w:rFonts w:ascii="Times New Roman" w:hAnsi="Times New Roman" w:eastAsia="仿宋_GB2312"/>
          <w:color w:val="000000"/>
          <w:sz w:val="30"/>
          <w:szCs w:val="32"/>
          <w:u w:val="single"/>
        </w:rPr>
        <w:t>。</w:t>
      </w:r>
    </w:p>
    <w:p w14:paraId="077B15A8">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关于项目经理每月在施工现场的时间要求：</w:t>
      </w:r>
      <w:r>
        <w:rPr>
          <w:rFonts w:hint="eastAsia" w:ascii="Times New Roman" w:hAnsi="Times New Roman" w:eastAsia="仿宋_GB2312"/>
          <w:color w:val="000000"/>
          <w:kern w:val="0"/>
          <w:sz w:val="30"/>
          <w:szCs w:val="32"/>
          <w:u w:val="single"/>
        </w:rPr>
        <w:t>不少于 20 天，由监理人负责工程总承包项目经理的考勤</w:t>
      </w:r>
      <w:r>
        <w:rPr>
          <w:rFonts w:ascii="Times New Roman" w:hAnsi="Times New Roman" w:eastAsia="仿宋_GB2312"/>
          <w:color w:val="000000"/>
          <w:sz w:val="30"/>
          <w:szCs w:val="32"/>
          <w:u w:val="single"/>
        </w:rPr>
        <w:t>。</w:t>
      </w:r>
    </w:p>
    <w:p w14:paraId="542AE397">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000000"/>
          <w:kern w:val="0"/>
          <w:sz w:val="30"/>
          <w:szCs w:val="32"/>
        </w:rPr>
        <w:t>承包人未提交劳动合同，以及没有为项目经理缴纳社会保险证明的违约责任</w:t>
      </w:r>
      <w:r>
        <w:rPr>
          <w:rFonts w:ascii="Times New Roman" w:hAnsi="Times New Roman" w:eastAsia="仿宋_GB2312"/>
          <w:color w:val="auto"/>
          <w:kern w:val="0"/>
          <w:sz w:val="30"/>
          <w:szCs w:val="32"/>
        </w:rPr>
        <w:t>：</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55DF1A03">
      <w:pPr>
        <w:spacing w:line="360" w:lineRule="auto"/>
        <w:ind w:firstLine="600" w:firstLineChars="200"/>
        <w:rPr>
          <w:rFonts w:ascii="Times New Roman" w:hAnsi="Times New Roman" w:eastAsia="仿宋_GB2312"/>
          <w:color w:val="auto"/>
          <w:sz w:val="30"/>
          <w:szCs w:val="32"/>
          <w:u w:val="single"/>
        </w:rPr>
      </w:pPr>
      <w:r>
        <w:rPr>
          <w:rFonts w:ascii="Times New Roman" w:hAnsi="Times New Roman" w:eastAsia="仿宋_GB2312"/>
          <w:color w:val="auto"/>
          <w:kern w:val="0"/>
          <w:sz w:val="30"/>
          <w:szCs w:val="32"/>
        </w:rPr>
        <w:t>项目经理未经批准，擅自离开施工现场的违约责任：</w:t>
      </w:r>
      <w:r>
        <w:rPr>
          <w:rFonts w:hint="eastAsia" w:ascii="Times New Roman" w:hAnsi="Times New Roman" w:eastAsia="仿宋_GB2312"/>
          <w:color w:val="auto"/>
          <w:kern w:val="0"/>
          <w:sz w:val="30"/>
          <w:szCs w:val="32"/>
          <w:u w:val="single"/>
        </w:rPr>
        <w:t xml:space="preserve">按照第 </w:t>
      </w:r>
      <w:r>
        <w:rPr>
          <w:rFonts w:hint="eastAsia" w:ascii="Times New Roman" w:hAnsi="Times New Roman" w:eastAsia="仿宋_GB2312"/>
          <w:color w:val="auto"/>
          <w:sz w:val="30"/>
          <w:szCs w:val="32"/>
          <w:u w:val="single"/>
        </w:rPr>
        <w:t>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w:t>
      </w:r>
      <w:r>
        <w:rPr>
          <w:rFonts w:hint="eastAsia" w:ascii="Times New Roman" w:hAnsi="Times New Roman" w:eastAsia="仿宋_GB2312"/>
          <w:color w:val="auto"/>
          <w:kern w:val="0"/>
          <w:sz w:val="30"/>
          <w:szCs w:val="32"/>
          <w:u w:val="single"/>
        </w:rPr>
        <w:t xml:space="preserve"> 款[承包人违约]约定执行</w:t>
      </w:r>
      <w:r>
        <w:rPr>
          <w:rFonts w:ascii="Times New Roman" w:hAnsi="Times New Roman" w:eastAsia="仿宋_GB2312"/>
          <w:color w:val="auto"/>
          <w:sz w:val="30"/>
          <w:szCs w:val="32"/>
          <w:u w:val="single"/>
        </w:rPr>
        <w:t>。</w:t>
      </w:r>
    </w:p>
    <w:p w14:paraId="43151381">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3.2.3 承包人擅自更换项目经理的违约责任：</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38AAD87F">
      <w:pPr>
        <w:spacing w:line="360" w:lineRule="auto"/>
        <w:outlineLvl w:val="0"/>
        <w:rPr>
          <w:rFonts w:hint="eastAsia" w:ascii="Times New Roman" w:hAnsi="Times New Roman" w:eastAsia="仿宋_GB2312"/>
          <w:color w:val="auto"/>
          <w:sz w:val="30"/>
          <w:szCs w:val="32"/>
          <w:lang w:eastAsia="zh-CN"/>
        </w:rPr>
      </w:pPr>
      <w:r>
        <w:rPr>
          <w:rFonts w:ascii="Times New Roman" w:hAnsi="Times New Roman" w:eastAsia="仿宋_GB2312"/>
          <w:color w:val="auto"/>
          <w:sz w:val="30"/>
          <w:szCs w:val="32"/>
        </w:rPr>
        <w:t xml:space="preserve">    </w:t>
      </w:r>
      <w:bookmarkStart w:id="545" w:name="_Toc13141"/>
      <w:r>
        <w:rPr>
          <w:rFonts w:ascii="Times New Roman" w:hAnsi="Times New Roman" w:eastAsia="仿宋_GB2312"/>
          <w:color w:val="auto"/>
          <w:sz w:val="30"/>
          <w:szCs w:val="32"/>
        </w:rPr>
        <w:t>3.2.4 承包人无正当理由拒绝更换项目经理的违约责任：</w:t>
      </w:r>
      <w:r>
        <w:rPr>
          <w:rFonts w:hint="eastAsia" w:ascii="Times New Roman" w:hAnsi="Times New Roman" w:eastAsia="仿宋_GB2312"/>
          <w:color w:val="auto"/>
          <w:sz w:val="30"/>
          <w:szCs w:val="32"/>
          <w:u w:val="single"/>
        </w:rPr>
        <w:t>按照第 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hint="eastAsia" w:ascii="Times New Roman" w:hAnsi="Times New Roman" w:eastAsia="仿宋_GB2312"/>
          <w:color w:val="auto"/>
          <w:sz w:val="30"/>
          <w:szCs w:val="32"/>
          <w:u w:val="single"/>
          <w:lang w:eastAsia="zh-CN"/>
        </w:rPr>
        <w:t>。</w:t>
      </w:r>
      <w:bookmarkEnd w:id="545"/>
    </w:p>
    <w:p w14:paraId="0A525C9F">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rPr>
        <w:t>3.3 承包人人员</w:t>
      </w:r>
    </w:p>
    <w:p w14:paraId="6ADECDB5">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3.3.1 承包人提交项目管理机构及施工现场管理人员安排报告的期限：</w:t>
      </w:r>
      <w:r>
        <w:rPr>
          <w:rFonts w:hint="eastAsia" w:ascii="Times New Roman" w:hAnsi="Times New Roman" w:eastAsia="仿宋_GB2312"/>
          <w:color w:val="auto"/>
          <w:sz w:val="30"/>
          <w:szCs w:val="32"/>
          <w:u w:val="single"/>
        </w:rPr>
        <w:t>合同订立后 7 天内</w:t>
      </w:r>
      <w:r>
        <w:rPr>
          <w:rFonts w:ascii="Times New Roman" w:hAnsi="Times New Roman" w:eastAsia="仿宋_GB2312"/>
          <w:color w:val="auto"/>
          <w:sz w:val="30"/>
          <w:szCs w:val="32"/>
          <w:u w:val="single"/>
        </w:rPr>
        <w:t>。</w:t>
      </w:r>
    </w:p>
    <w:p w14:paraId="6161C32B">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3.3.3 承包人无正当理由拒绝撤换主要施工管理人员的违约责任：</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67FF5D8F">
      <w:pPr>
        <w:spacing w:line="360" w:lineRule="auto"/>
        <w:ind w:firstLine="600" w:firstLineChars="200"/>
        <w:rPr>
          <w:rFonts w:ascii="Times New Roman" w:hAnsi="Times New Roman" w:eastAsia="仿宋_GB2312"/>
          <w:color w:val="auto"/>
          <w:sz w:val="30"/>
          <w:szCs w:val="32"/>
          <w:u w:val="single"/>
        </w:rPr>
      </w:pPr>
      <w:r>
        <w:rPr>
          <w:rFonts w:ascii="Times New Roman" w:hAnsi="Times New Roman" w:eastAsia="仿宋_GB2312"/>
          <w:color w:val="auto"/>
          <w:sz w:val="30"/>
          <w:szCs w:val="32"/>
        </w:rPr>
        <w:t xml:space="preserve">3.3.4 承包人主要施工管理人员离开施工现场的批准要求：   </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0F8CB71C">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3.3.5承包人擅自更换主要施工管理人员的违约责任：</w:t>
      </w:r>
      <w:r>
        <w:rPr>
          <w:rFonts w:hint="eastAsia" w:ascii="Times New Roman" w:hAnsi="Times New Roman" w:eastAsia="仿宋_GB2312"/>
          <w:color w:val="auto"/>
          <w:sz w:val="30"/>
          <w:szCs w:val="32"/>
          <w:u w:val="single"/>
        </w:rPr>
        <w:t>按照第 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22003EAD">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承包人主要施工管理人员擅自离开施工现场的违约责任：</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2BE42500">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w:t>
      </w:r>
      <w:bookmarkStart w:id="546" w:name="_Toc292559364"/>
      <w:bookmarkStart w:id="547" w:name="_Toc296347158"/>
      <w:bookmarkStart w:id="548" w:name="_Toc292559869"/>
      <w:bookmarkStart w:id="549" w:name="_Toc303539102"/>
      <w:bookmarkStart w:id="550" w:name="_Toc312677988"/>
      <w:bookmarkStart w:id="551" w:name="_Toc296944498"/>
      <w:bookmarkStart w:id="552" w:name="_Toc297048345"/>
      <w:bookmarkStart w:id="553" w:name="_Toc297120459"/>
      <w:bookmarkStart w:id="554" w:name="_Toc296891199"/>
      <w:bookmarkStart w:id="555" w:name="_Toc296890987"/>
      <w:bookmarkStart w:id="556" w:name="_Toc296503159"/>
      <w:bookmarkStart w:id="557" w:name="_Toc297216151"/>
      <w:bookmarkStart w:id="558" w:name="_Toc300934945"/>
      <w:bookmarkStart w:id="559" w:name="_Toc296346660"/>
      <w:bookmarkStart w:id="560" w:name="_Toc304295523"/>
      <w:bookmarkStart w:id="561" w:name="_Toc297123492"/>
      <w:r>
        <w:rPr>
          <w:rFonts w:ascii="Times New Roman" w:hAnsi="Times New Roman" w:eastAsia="黑体"/>
          <w:color w:val="000000"/>
          <w:sz w:val="30"/>
          <w:szCs w:val="32"/>
        </w:rPr>
        <w:t>.5 分包</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0EAC0CC1">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bookmarkStart w:id="562" w:name="_Toc300934946"/>
      <w:bookmarkStart w:id="563" w:name="_Toc292559365"/>
      <w:bookmarkStart w:id="564" w:name="_Toc296347159"/>
      <w:bookmarkStart w:id="565" w:name="_Toc296346661"/>
      <w:bookmarkStart w:id="566" w:name="_Toc297216152"/>
      <w:bookmarkStart w:id="567" w:name="_Toc296503160"/>
      <w:bookmarkStart w:id="568" w:name="_Toc296890988"/>
      <w:bookmarkStart w:id="569" w:name="_Toc296891200"/>
      <w:bookmarkStart w:id="570" w:name="_Toc304295524"/>
      <w:bookmarkStart w:id="571" w:name="_Toc303539103"/>
      <w:bookmarkStart w:id="572" w:name="_Toc296944499"/>
      <w:bookmarkStart w:id="573" w:name="_Toc297048346"/>
      <w:bookmarkStart w:id="574" w:name="_Toc297123493"/>
      <w:bookmarkStart w:id="575" w:name="_Toc292559870"/>
      <w:bookmarkStart w:id="576" w:name="_Toc297120460"/>
      <w:bookmarkStart w:id="577" w:name="_Toc318581158"/>
      <w:bookmarkStart w:id="578" w:name="_Toc312677989"/>
      <w:r>
        <w:rPr>
          <w:rFonts w:ascii="Times New Roman" w:hAnsi="Times New Roman" w:eastAsia="仿宋_GB2312"/>
          <w:sz w:val="30"/>
          <w:szCs w:val="32"/>
        </w:rPr>
        <w:t>.5.1 分包的一般约定</w:t>
      </w:r>
    </w:p>
    <w:p w14:paraId="31403AF4">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禁止分包的工程包括：</w:t>
      </w:r>
      <w:r>
        <w:rPr>
          <w:rFonts w:hint="eastAsia" w:ascii="Times New Roman" w:hAnsi="Times New Roman" w:eastAsia="仿宋_GB2312"/>
          <w:sz w:val="30"/>
          <w:szCs w:val="32"/>
          <w:u w:val="single"/>
        </w:rPr>
        <w:t>主体结构、关键性工作等国家法律、法规禁止分包的工程的设计和施工</w:t>
      </w:r>
      <w:r>
        <w:rPr>
          <w:rFonts w:ascii="Times New Roman" w:hAnsi="Times New Roman" w:eastAsia="仿宋_GB2312"/>
          <w:color w:val="000000"/>
          <w:sz w:val="30"/>
          <w:szCs w:val="32"/>
        </w:rPr>
        <w:t>。</w:t>
      </w:r>
    </w:p>
    <w:p w14:paraId="2EEE302F">
      <w:pPr>
        <w:spacing w:line="360" w:lineRule="auto"/>
        <w:jc w:val="left"/>
        <w:rPr>
          <w:rFonts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hint="eastAsia" w:ascii="Times New Roman" w:hAnsi="Times New Roman" w:eastAsia="仿宋_GB2312"/>
          <w:sz w:val="30"/>
          <w:szCs w:val="32"/>
          <w:u w:val="single"/>
        </w:rPr>
        <w:t>国家法律、法规、规范、标准等所约束的范围。如房建工程主体结构指混凝土工程、砌体工程；关键性工作指梁、板、柱等部位</w:t>
      </w:r>
      <w:r>
        <w:rPr>
          <w:rFonts w:ascii="Times New Roman" w:hAnsi="Times New Roman" w:eastAsia="仿宋_GB2312"/>
          <w:color w:val="000000"/>
          <w:sz w:val="30"/>
          <w:szCs w:val="32"/>
          <w:u w:val="single"/>
        </w:rPr>
        <w:t>。</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Start w:id="579" w:name="_Toc297048347"/>
      <w:bookmarkStart w:id="580" w:name="_Toc297216153"/>
      <w:bookmarkStart w:id="581" w:name="_Toc300934947"/>
      <w:bookmarkStart w:id="582" w:name="_Toc296347160"/>
      <w:bookmarkStart w:id="583" w:name="_Toc297120461"/>
      <w:bookmarkStart w:id="584" w:name="_Toc296891201"/>
      <w:bookmarkStart w:id="585" w:name="_Toc296346662"/>
      <w:bookmarkStart w:id="586" w:name="_Toc304295525"/>
      <w:bookmarkStart w:id="587" w:name="_Toc296944500"/>
      <w:bookmarkStart w:id="588" w:name="_Toc303539104"/>
      <w:bookmarkStart w:id="589" w:name="_Toc296503161"/>
      <w:bookmarkStart w:id="590" w:name="_Toc296890989"/>
      <w:bookmarkStart w:id="591" w:name="_Toc297123494"/>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3895AEC5">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bookmarkStart w:id="592" w:name="_Toc318581159"/>
      <w:bookmarkStart w:id="593" w:name="_Toc312677990"/>
      <w:r>
        <w:rPr>
          <w:rFonts w:ascii="Times New Roman" w:hAnsi="Times New Roman" w:eastAsia="仿宋_GB2312"/>
          <w:sz w:val="30"/>
          <w:szCs w:val="32"/>
        </w:rPr>
        <w:t>.5.2分包的确定</w:t>
      </w:r>
    </w:p>
    <w:p w14:paraId="4A8D3517">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hint="eastAsia" w:ascii="Times New Roman" w:hAnsi="Times New Roman" w:eastAsia="仿宋_GB2312"/>
          <w:sz w:val="30"/>
          <w:szCs w:val="32"/>
          <w:u w:val="single"/>
        </w:rPr>
        <w:t>符合《中华人民共和国建筑法》和《中华人民共和国招标投标法》的相关规定</w:t>
      </w:r>
      <w:r>
        <w:rPr>
          <w:rFonts w:ascii="Times New Roman" w:hAnsi="Times New Roman" w:eastAsia="仿宋_GB2312"/>
          <w:color w:val="000000"/>
          <w:sz w:val="30"/>
          <w:szCs w:val="32"/>
          <w:u w:val="single"/>
        </w:rPr>
        <w:t>。</w:t>
      </w:r>
    </w:p>
    <w:p w14:paraId="716E3C35">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rPr>
        <w:t>其他关于分包的约定：</w:t>
      </w:r>
    </w:p>
    <w:p w14:paraId="57456524">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(1) 严禁违法分包。违法分包一经查实，承包人的履约担保不予退还，终止合同；同时发包人有权向相关行政监管部门举报，根据《住房和城乡建设部关于印发建筑工程施工发包与承包违法行为认定查处管理办法的通知》（建市规〔2019〕1 号）相关规定条款执行。</w:t>
      </w:r>
    </w:p>
    <w:p w14:paraId="696A582C">
      <w:pPr>
        <w:spacing w:line="360" w:lineRule="auto"/>
        <w:ind w:firstLine="600" w:firstLineChars="200"/>
        <w:rPr>
          <w:rFonts w:ascii="Times New Roman" w:hAnsi="Times New Roman" w:eastAsia="仿宋_GB2312"/>
          <w:sz w:val="30"/>
          <w:szCs w:val="32"/>
        </w:rPr>
      </w:pPr>
      <w:r>
        <w:rPr>
          <w:rFonts w:hint="eastAsia" w:ascii="Times New Roman" w:hAnsi="Times New Roman" w:eastAsia="仿宋_GB2312"/>
          <w:color w:val="000000"/>
          <w:sz w:val="30"/>
          <w:szCs w:val="32"/>
          <w:u w:val="single"/>
        </w:rPr>
        <w:t>(2) 在合同履行过程中实行设计、施工人员实名制管理，发包人有权核查承包人管理人员的资格证件、工程价款往来银行账户、施工单位的材料构配件、设备的发票等资料，配合相关行政主管部门加大对转包、违法分包行为的查处</w:t>
      </w:r>
      <w:r>
        <w:rPr>
          <w:rFonts w:ascii="Times New Roman" w:hAnsi="Times New Roman" w:eastAsia="仿宋_GB2312"/>
          <w:color w:val="000000"/>
          <w:sz w:val="30"/>
          <w:szCs w:val="32"/>
          <w:u w:val="single"/>
        </w:rPr>
        <w:t>。</w:t>
      </w:r>
    </w:p>
    <w:p w14:paraId="32144202">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3.5.4 分包合同价款</w:t>
      </w:r>
    </w:p>
    <w:p w14:paraId="01FC7616">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关于分包合同价款支付的约定：</w:t>
      </w:r>
      <w:r>
        <w:rPr>
          <w:rFonts w:hint="eastAsia" w:ascii="Times New Roman" w:hAnsi="Times New Roman" w:eastAsia="仿宋_GB2312"/>
          <w:sz w:val="30"/>
          <w:szCs w:val="32"/>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Times New Roman" w:hAnsi="Times New Roman" w:eastAsia="仿宋_GB2312"/>
          <w:color w:val="000000"/>
          <w:sz w:val="30"/>
          <w:szCs w:val="32"/>
          <w:u w:val="single"/>
        </w:rPr>
        <w:t>。</w:t>
      </w:r>
    </w:p>
    <w:bookmarkEnd w:id="592"/>
    <w:bookmarkEnd w:id="593"/>
    <w:p w14:paraId="6AC4ACC6">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3.6 工程照管与成品、半成品保护</w:t>
      </w:r>
    </w:p>
    <w:p w14:paraId="09E3FDF4">
      <w:pPr>
        <w:spacing w:before="120" w:after="120" w:line="360" w:lineRule="auto"/>
        <w:ind w:firstLine="600" w:firstLineChars="200"/>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承包人负责照管工程及工程相关的材料、工程设备的起始时间：</w:t>
      </w:r>
      <w:r>
        <w:rPr>
          <w:rFonts w:hint="eastAsia" w:ascii="Times New Roman" w:hAnsi="Times New Roman" w:eastAsia="仿宋_GB2312"/>
          <w:color w:val="000000"/>
          <w:kern w:val="0"/>
          <w:sz w:val="30"/>
          <w:szCs w:val="32"/>
          <w:u w:val="single"/>
        </w:rPr>
        <w:t>自发包人向承包人移交施工现场之日起，承包人应负责照管工程及工程相关的材料、工程设备，直到颁发工程接收证书之日止</w:t>
      </w:r>
      <w:r>
        <w:rPr>
          <w:rFonts w:ascii="Times New Roman" w:hAnsi="Times New Roman" w:eastAsia="仿宋_GB2312"/>
          <w:color w:val="000000"/>
          <w:kern w:val="0"/>
          <w:sz w:val="30"/>
          <w:szCs w:val="32"/>
          <w:u w:val="single"/>
        </w:rPr>
        <w:t>。</w:t>
      </w:r>
    </w:p>
    <w:p w14:paraId="08EDBFEB">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3.7 履约担保</w:t>
      </w:r>
    </w:p>
    <w:p w14:paraId="6D119272">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承包人是否提供履约担保：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提供</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2B032EA6">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承包人提供履约担保的形式</w:t>
      </w:r>
      <w:r>
        <w:rPr>
          <w:rFonts w:hint="eastAsia" w:ascii="Times New Roman" w:hAnsi="Times New Roman" w:eastAsia="仿宋_GB2312"/>
          <w:color w:val="000000"/>
          <w:sz w:val="30"/>
          <w:szCs w:val="32"/>
        </w:rPr>
        <w:t>、金额及期限的</w:t>
      </w:r>
      <w:r>
        <w:rPr>
          <w:rFonts w:ascii="Times New Roman" w:hAnsi="Times New Roman" w:eastAsia="仿宋_GB2312"/>
          <w:color w:val="000000"/>
          <w:sz w:val="30"/>
          <w:szCs w:val="32"/>
        </w:rPr>
        <w:t>：</w:t>
      </w:r>
    </w:p>
    <w:p w14:paraId="77857AF9">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1</w:t>
      </w:r>
      <w:r>
        <w:rPr>
          <w:rFonts w:hint="eastAsia" w:ascii="Times New Roman" w:hAnsi="Times New Roman" w:eastAsia="仿宋_GB2312"/>
          <w:color w:val="000000"/>
          <w:sz w:val="30"/>
          <w:szCs w:val="32"/>
        </w:rPr>
        <w:t>)履约担保的方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1E44EEC7">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2</w:t>
      </w:r>
      <w:r>
        <w:rPr>
          <w:rFonts w:hint="eastAsia" w:ascii="Times New Roman" w:hAnsi="Times New Roman" w:eastAsia="仿宋_GB2312"/>
          <w:color w:val="000000"/>
          <w:sz w:val="30"/>
          <w:szCs w:val="32"/>
        </w:rPr>
        <w:t>) 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14:paraId="69129755">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3</w:t>
      </w:r>
      <w:r>
        <w:rPr>
          <w:rFonts w:hint="eastAsia" w:ascii="Times New Roman" w:hAnsi="Times New Roman" w:eastAsia="仿宋_GB2312"/>
          <w:color w:val="000000"/>
          <w:sz w:val="30"/>
          <w:szCs w:val="32"/>
        </w:rPr>
        <w:t>)履约担保的金额：合同金额的10%。红名单单位按应缴纳金额的80%缴纳，承包人是否属于红名单单位以开标时的信用查询结果为准。</w:t>
      </w:r>
    </w:p>
    <w:p w14:paraId="4AE57796">
      <w:pPr>
        <w:spacing w:line="360" w:lineRule="auto"/>
        <w:ind w:firstLine="600" w:firstLineChars="200"/>
        <w:jc w:val="left"/>
        <w:rPr>
          <w:rFonts w:hint="eastAsia" w:ascii="Times New Roman" w:hAnsi="Times New Roman" w:eastAsia="仿宋_GB2312"/>
          <w:color w:val="000000"/>
          <w:sz w:val="30"/>
          <w:szCs w:val="32"/>
          <w:lang w:val="en-US" w:eastAsia="zh-CN"/>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4</w:t>
      </w:r>
      <w:r>
        <w:rPr>
          <w:rFonts w:hint="eastAsia" w:ascii="Times New Roman" w:hAnsi="Times New Roman" w:eastAsia="仿宋_GB2312"/>
          <w:color w:val="000000"/>
          <w:sz w:val="30"/>
          <w:szCs w:val="32"/>
        </w:rPr>
        <w:t>)履约担保的提交时间：中标候选人公示期结束后10个工作日内</w:t>
      </w:r>
      <w:r>
        <w:rPr>
          <w:rFonts w:hint="eastAsia" w:ascii="Times New Roman" w:hAnsi="Times New Roman" w:eastAsia="仿宋_GB2312"/>
          <w:color w:val="000000"/>
          <w:sz w:val="30"/>
          <w:szCs w:val="32"/>
          <w:lang w:val="en-US" w:eastAsia="zh-CN"/>
        </w:rPr>
        <w:t>。</w:t>
      </w:r>
    </w:p>
    <w:p w14:paraId="5B7D7E05">
      <w:pPr>
        <w:spacing w:line="360" w:lineRule="auto"/>
        <w:ind w:firstLine="600" w:firstLineChars="200"/>
        <w:jc w:val="left"/>
        <w:rPr>
          <w:rFonts w:hint="eastAsia" w:ascii="Times New Roman" w:hAnsi="Times New Roman" w:eastAsia="仿宋_GB2312"/>
          <w:color w:val="000000"/>
          <w:sz w:val="30"/>
          <w:szCs w:val="32"/>
          <w:lang w:eastAsia="zh-CN"/>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5</w:t>
      </w:r>
      <w:r>
        <w:rPr>
          <w:rFonts w:hint="eastAsia" w:ascii="Times New Roman" w:hAnsi="Times New Roman" w:eastAsia="仿宋_GB2312"/>
          <w:color w:val="000000"/>
          <w:sz w:val="30"/>
          <w:szCs w:val="32"/>
        </w:rPr>
        <w:t>)履约担保的期限：自提交履约担保之日起至竣工验收合格之日止</w:t>
      </w:r>
      <w:r>
        <w:rPr>
          <w:rFonts w:hint="eastAsia" w:ascii="Times New Roman" w:hAnsi="Times New Roman" w:eastAsia="仿宋_GB2312"/>
          <w:color w:val="000000"/>
          <w:sz w:val="30"/>
          <w:szCs w:val="32"/>
          <w:lang w:eastAsia="zh-CN"/>
        </w:rPr>
        <w:t>。</w:t>
      </w:r>
    </w:p>
    <w:p w14:paraId="767C2F43">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6</w:t>
      </w:r>
      <w:r>
        <w:rPr>
          <w:rFonts w:hint="eastAsia" w:ascii="Times New Roman" w:hAnsi="Times New Roman" w:eastAsia="仿宋_GB2312"/>
          <w:color w:val="000000"/>
          <w:sz w:val="30"/>
          <w:szCs w:val="32"/>
        </w:rPr>
        <w:t>)履约担保的退还时间：工程竣工验收合格后</w:t>
      </w:r>
      <w:r>
        <w:rPr>
          <w:rFonts w:hint="eastAsia" w:ascii="Times New Roman" w:hAnsi="Times New Roman" w:eastAsia="仿宋_GB2312"/>
          <w:color w:val="000000"/>
          <w:sz w:val="30"/>
          <w:szCs w:val="32"/>
          <w:lang w:val="en-US" w:eastAsia="zh-CN"/>
        </w:rPr>
        <w:t>30</w:t>
      </w:r>
      <w:r>
        <w:rPr>
          <w:rFonts w:hint="eastAsia" w:ascii="Times New Roman" w:hAnsi="Times New Roman" w:eastAsia="仿宋_GB2312"/>
          <w:color w:val="000000"/>
          <w:sz w:val="30"/>
          <w:szCs w:val="32"/>
        </w:rPr>
        <w:t>天内无息退还。</w:t>
      </w:r>
    </w:p>
    <w:p w14:paraId="473DBCE1">
      <w:pPr>
        <w:pStyle w:val="7"/>
        <w:spacing w:before="120" w:after="120" w:line="360" w:lineRule="auto"/>
        <w:rPr>
          <w:rFonts w:ascii="Times New Roman" w:hAnsi="Times New Roman" w:eastAsia="黑体"/>
          <w:b w:val="0"/>
          <w:color w:val="000000"/>
          <w:sz w:val="32"/>
          <w:szCs w:val="32"/>
        </w:rPr>
      </w:pPr>
      <w:bookmarkStart w:id="594" w:name="_Toc351203636"/>
      <w:r>
        <w:rPr>
          <w:rFonts w:ascii="Times New Roman" w:hAnsi="Times New Roman" w:eastAsia="黑体"/>
          <w:b w:val="0"/>
          <w:color w:val="000000"/>
          <w:sz w:val="32"/>
          <w:szCs w:val="32"/>
        </w:rPr>
        <w:t>4</w:t>
      </w:r>
      <w:bookmarkStart w:id="595" w:name="_Toc292559871"/>
      <w:bookmarkStart w:id="596" w:name="_Toc292559366"/>
      <w:bookmarkStart w:id="597" w:name="_Toc297048348"/>
      <w:bookmarkStart w:id="598" w:name="_Toc296890990"/>
      <w:bookmarkStart w:id="599" w:name="_Toc297120462"/>
      <w:bookmarkStart w:id="600" w:name="_Toc296347161"/>
      <w:bookmarkStart w:id="601" w:name="_Toc296944501"/>
      <w:bookmarkStart w:id="602" w:name="_Toc296891202"/>
      <w:bookmarkStart w:id="603" w:name="_Toc267251413"/>
      <w:bookmarkStart w:id="604" w:name="_Toc296346663"/>
      <w:bookmarkStart w:id="605" w:name="_Toc296503162"/>
      <w:r>
        <w:rPr>
          <w:rFonts w:ascii="Times New Roman" w:hAnsi="Times New Roman" w:eastAsia="黑体"/>
          <w:b w:val="0"/>
          <w:color w:val="000000"/>
          <w:sz w:val="32"/>
          <w:szCs w:val="32"/>
        </w:rPr>
        <w:t>. 监</w:t>
      </w:r>
      <w:bookmarkEnd w:id="595"/>
      <w:bookmarkEnd w:id="596"/>
      <w:bookmarkEnd w:id="597"/>
      <w:bookmarkEnd w:id="598"/>
      <w:bookmarkEnd w:id="599"/>
      <w:bookmarkEnd w:id="600"/>
      <w:bookmarkEnd w:id="601"/>
      <w:bookmarkEnd w:id="602"/>
      <w:bookmarkEnd w:id="603"/>
      <w:bookmarkEnd w:id="604"/>
      <w:bookmarkEnd w:id="605"/>
      <w:r>
        <w:rPr>
          <w:rFonts w:ascii="Times New Roman" w:hAnsi="Times New Roman" w:eastAsia="黑体"/>
          <w:b w:val="0"/>
          <w:color w:val="000000"/>
          <w:sz w:val="32"/>
          <w:szCs w:val="32"/>
        </w:rPr>
        <w:t>理人</w:t>
      </w:r>
      <w:bookmarkEnd w:id="594"/>
    </w:p>
    <w:p w14:paraId="1AE23175">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4.1监理人的一般规定</w:t>
      </w:r>
    </w:p>
    <w:p w14:paraId="0F601776">
      <w:pPr>
        <w:spacing w:line="360" w:lineRule="auto"/>
        <w:ind w:firstLine="600" w:firstLineChars="200"/>
        <w:jc w:val="left"/>
        <w:rPr>
          <w:rFonts w:hint="eastAsia" w:ascii="Times New Roman" w:hAnsi="Times New Roman" w:eastAsia="仿宋_GB2312" w:cs="Times New Roman"/>
          <w:color w:val="000000"/>
          <w:sz w:val="30"/>
          <w:szCs w:val="32"/>
          <w:u w:val="single"/>
        </w:rPr>
      </w:pPr>
      <w:r>
        <w:rPr>
          <w:rFonts w:ascii="Times New Roman" w:hAnsi="Times New Roman" w:eastAsia="仿宋_GB2312"/>
          <w:color w:val="000000"/>
          <w:sz w:val="30"/>
          <w:szCs w:val="32"/>
        </w:rPr>
        <w:t>关于监理人的监理内容：</w:t>
      </w:r>
      <w:r>
        <w:rPr>
          <w:rFonts w:hint="eastAsia" w:ascii="Times New Roman" w:hAnsi="Times New Roman" w:eastAsia="仿宋_GB2312"/>
          <w:color w:val="000000"/>
          <w:sz w:val="30"/>
          <w:szCs w:val="32"/>
          <w:u w:val="single"/>
        </w:rPr>
        <w:t>监理人按照与发包人签订的监理合同，代表发包人对工程质量、工程进度、工程造价进行控制；对文明施工、环保和环卫进行监督；对合同和信息进行管理；以及对施工现场进行协调，并履行建设工程</w:t>
      </w:r>
      <w:r>
        <w:rPr>
          <w:rFonts w:hint="eastAsia" w:ascii="Times New Roman" w:hAnsi="Times New Roman" w:eastAsia="仿宋_GB2312" w:cs="Times New Roman"/>
          <w:color w:val="000000"/>
          <w:sz w:val="30"/>
          <w:szCs w:val="32"/>
          <w:u w:val="single"/>
        </w:rPr>
        <w:t>安全生产法定职责，详见监理合同。但工程变更、工程造价的变更、工程延期等需经发包人核定</w:t>
      </w:r>
      <w:r>
        <w:rPr>
          <w:rFonts w:hint="eastAsia" w:ascii="Times New Roman" w:hAnsi="Times New Roman" w:eastAsia="仿宋_GB2312" w:cs="Times New Roman"/>
          <w:color w:val="000000"/>
          <w:sz w:val="30"/>
          <w:szCs w:val="32"/>
          <w:u w:val="single"/>
          <w:lang w:eastAsia="zh-CN"/>
        </w:rPr>
        <w:t>，</w:t>
      </w:r>
      <w:r>
        <w:rPr>
          <w:rFonts w:hint="eastAsia" w:ascii="Times New Roman" w:hAnsi="Times New Roman" w:eastAsia="仿宋_GB2312" w:cs="Times New Roman"/>
          <w:color w:val="000000"/>
          <w:sz w:val="30"/>
          <w:szCs w:val="32"/>
          <w:u w:val="single"/>
          <w:lang w:val="en-US" w:eastAsia="zh-CN"/>
        </w:rPr>
        <w:t>仅有监理单位的签章确认，不代表发包人的认可</w:t>
      </w:r>
      <w:r>
        <w:rPr>
          <w:rFonts w:hint="eastAsia" w:ascii="Times New Roman" w:hAnsi="Times New Roman" w:eastAsia="仿宋_GB2312" w:cs="Times New Roman"/>
          <w:color w:val="000000"/>
          <w:sz w:val="30"/>
          <w:szCs w:val="32"/>
          <w:u w:val="single"/>
        </w:rPr>
        <w:t>。</w:t>
      </w:r>
    </w:p>
    <w:p w14:paraId="1A5CB8BF">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关于监理人的监理权限：</w:t>
      </w:r>
      <w:r>
        <w:rPr>
          <w:rFonts w:hint="eastAsia" w:ascii="Times New Roman" w:hAnsi="Times New Roman" w:eastAsia="仿宋_GB2312"/>
          <w:color w:val="000000"/>
          <w:sz w:val="30"/>
          <w:szCs w:val="32"/>
          <w:u w:val="single"/>
        </w:rPr>
        <w:t>代表发包人对工程质量、进度、造价进行控制，对合同和信息进行管理，对文明施工、环保和环卫进行监督，并对现场施工组织进行协调，并履行建设工程安全生产法定职责，具体以监理合同为准。</w:t>
      </w:r>
    </w:p>
    <w:p w14:paraId="42CB6A39">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须经发包人事先批准行使的权力： 工程开工、停工、复工令的签发需经发包人同意，</w:t>
      </w:r>
      <w:r>
        <w:rPr>
          <w:rFonts w:hint="eastAsia" w:ascii="Times New Roman" w:hAnsi="Times New Roman" w:eastAsia="仿宋_GB2312" w:cs="Times New Roman"/>
          <w:color w:val="000000"/>
          <w:sz w:val="30"/>
          <w:szCs w:val="32"/>
          <w:u w:val="single"/>
        </w:rPr>
        <w:t>工期延长、材料设备认质核价、工程变更、现场签证、价款调整、工程计量与支付、索赔及与工程价款相关事宜等需经发包人核定和批准</w:t>
      </w:r>
      <w:r>
        <w:rPr>
          <w:rFonts w:hint="eastAsia" w:ascii="Times New Roman" w:hAnsi="Times New Roman" w:eastAsia="仿宋_GB2312" w:cs="Times New Roman"/>
          <w:color w:val="000000"/>
          <w:sz w:val="30"/>
          <w:szCs w:val="32"/>
          <w:u w:val="single"/>
          <w:lang w:val="en-US" w:eastAsia="zh-CN"/>
        </w:rPr>
        <w:t>并签章确认</w:t>
      </w:r>
      <w:r>
        <w:rPr>
          <w:rFonts w:hint="eastAsia" w:ascii="Times New Roman" w:hAnsi="Times New Roman" w:eastAsia="仿宋_GB2312" w:cs="Times New Roman"/>
          <w:color w:val="000000"/>
          <w:sz w:val="30"/>
          <w:szCs w:val="32"/>
          <w:u w:val="single"/>
        </w:rPr>
        <w:t>。</w:t>
      </w:r>
      <w:r>
        <w:rPr>
          <w:rFonts w:ascii="Times New Roman" w:hAnsi="Times New Roman" w:eastAsia="仿宋_GB2312"/>
          <w:color w:val="000000"/>
          <w:sz w:val="30"/>
          <w:szCs w:val="32"/>
          <w:u w:val="single"/>
        </w:rPr>
        <w:t xml:space="preserve"> </w:t>
      </w:r>
    </w:p>
    <w:p w14:paraId="0B3B33C3">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关于监理人在施工现场的办公场所、生活场所的提供和费用承担的约定：</w:t>
      </w:r>
      <w:r>
        <w:rPr>
          <w:rFonts w:hint="eastAsia" w:ascii="Times New Roman" w:hAnsi="Times New Roman" w:eastAsia="仿宋_GB2312"/>
          <w:color w:val="000000"/>
          <w:sz w:val="30"/>
          <w:szCs w:val="32"/>
          <w:u w:val="single"/>
          <w:lang w:val="en-US" w:eastAsia="zh-CN"/>
        </w:rPr>
        <w:t>由承包人提供并负责费用</w:t>
      </w:r>
      <w:r>
        <w:rPr>
          <w:rFonts w:ascii="Times New Roman" w:hAnsi="Times New Roman" w:eastAsia="仿宋_GB2312"/>
          <w:color w:val="000000"/>
          <w:sz w:val="30"/>
          <w:szCs w:val="32"/>
        </w:rPr>
        <w:t>。</w:t>
      </w:r>
    </w:p>
    <w:p w14:paraId="2872FD3F">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4.2 监理人员</w:t>
      </w:r>
    </w:p>
    <w:p w14:paraId="061789A0">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总监理工程师：</w:t>
      </w:r>
    </w:p>
    <w:p w14:paraId="0F9B26E4">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6E724AEF">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4D7CE179">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监理工程师执业资格证书号：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56F6AD66">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7D89BB6A">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468AEFCC">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4CEBB596">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关于监理人的其他约定：</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0CC4DF42">
      <w:pPr>
        <w:pStyle w:val="7"/>
        <w:spacing w:before="120" w:after="120" w:line="360" w:lineRule="auto"/>
        <w:rPr>
          <w:rFonts w:ascii="Times New Roman" w:hAnsi="Times New Roman" w:eastAsia="黑体"/>
          <w:b w:val="0"/>
          <w:color w:val="000000"/>
          <w:sz w:val="32"/>
          <w:szCs w:val="32"/>
        </w:rPr>
      </w:pPr>
      <w:bookmarkStart w:id="606" w:name="_Toc267251418"/>
      <w:bookmarkStart w:id="607" w:name="_Toc351203637"/>
      <w:r>
        <w:rPr>
          <w:rFonts w:ascii="Times New Roman" w:hAnsi="Times New Roman" w:eastAsia="黑体"/>
          <w:b w:val="0"/>
          <w:color w:val="000000"/>
          <w:sz w:val="32"/>
          <w:szCs w:val="32"/>
        </w:rPr>
        <w:t>5</w:t>
      </w:r>
      <w:bookmarkEnd w:id="606"/>
      <w:bookmarkStart w:id="608" w:name="_Toc292559367"/>
      <w:bookmarkStart w:id="609" w:name="_Toc292559872"/>
      <w:bookmarkStart w:id="610" w:name="_Toc297048349"/>
      <w:bookmarkStart w:id="611" w:name="_Toc296347162"/>
      <w:bookmarkStart w:id="612" w:name="_Toc296503163"/>
      <w:bookmarkStart w:id="613" w:name="_Toc297120463"/>
      <w:bookmarkStart w:id="614" w:name="_Toc296891203"/>
      <w:bookmarkStart w:id="615" w:name="_Toc296346664"/>
      <w:bookmarkStart w:id="616" w:name="_Toc296944502"/>
      <w:bookmarkStart w:id="617" w:name="_Toc296890991"/>
      <w:r>
        <w:rPr>
          <w:rFonts w:ascii="Times New Roman" w:hAnsi="Times New Roman" w:eastAsia="黑体"/>
          <w:b w:val="0"/>
          <w:color w:val="000000"/>
          <w:sz w:val="32"/>
          <w:szCs w:val="32"/>
        </w:rPr>
        <w:t>. 工程质量</w:t>
      </w:r>
      <w:bookmarkEnd w:id="607"/>
    </w:p>
    <w:p w14:paraId="2D7D416F">
      <w:pPr>
        <w:spacing w:after="120" w:line="360" w:lineRule="auto"/>
        <w:ind w:firstLine="600" w:firstLineChars="200"/>
        <w:outlineLvl w:val="0"/>
        <w:rPr>
          <w:rFonts w:ascii="Times New Roman" w:hAnsi="Times New Roman" w:eastAsia="黑体"/>
          <w:color w:val="000000"/>
          <w:sz w:val="30"/>
          <w:szCs w:val="32"/>
        </w:rPr>
      </w:pPr>
      <w:bookmarkStart w:id="618" w:name="_Toc21893"/>
      <w:r>
        <w:rPr>
          <w:rFonts w:ascii="Times New Roman" w:hAnsi="Times New Roman" w:eastAsia="黑体"/>
          <w:color w:val="000000"/>
          <w:sz w:val="30"/>
          <w:szCs w:val="32"/>
        </w:rPr>
        <w:t>5.1 质量要求</w:t>
      </w:r>
      <w:bookmarkEnd w:id="618"/>
    </w:p>
    <w:p w14:paraId="2496DC6C">
      <w:pPr>
        <w:spacing w:line="360" w:lineRule="auto"/>
        <w:ind w:firstLine="600" w:firstLineChars="200"/>
        <w:jc w:val="left"/>
        <w:rPr>
          <w:rFonts w:ascii="Times New Roman" w:hAnsi="Times New Roman" w:eastAsia="仿宋_GB2312"/>
          <w:color w:val="auto"/>
          <w:sz w:val="30"/>
          <w:szCs w:val="32"/>
        </w:rPr>
      </w:pPr>
      <w:bookmarkStart w:id="619" w:name="_Toc25789"/>
      <w:bookmarkStart w:id="620" w:name="_Toc297216155"/>
      <w:bookmarkStart w:id="621" w:name="_Toc318581164"/>
      <w:bookmarkStart w:id="622" w:name="_Toc304295527"/>
      <w:bookmarkStart w:id="623" w:name="_Toc312677997"/>
      <w:bookmarkStart w:id="624" w:name="_Toc303539106"/>
      <w:bookmarkStart w:id="625" w:name="_Toc297123496"/>
      <w:bookmarkStart w:id="626" w:name="_Toc300934949"/>
      <w:r>
        <w:rPr>
          <w:rFonts w:hint="eastAsia" w:ascii="Times New Roman" w:hAnsi="Times New Roman" w:eastAsia="仿宋_GB2312"/>
          <w:color w:val="auto"/>
          <w:sz w:val="30"/>
          <w:szCs w:val="32"/>
        </w:rPr>
        <w:t>工程质量符合强制性质量标准，符合国家和重庆市现行有关施工质量验收规范要求，并达到合格标准。如上述标准及规范要求有出入则以较严格者为准。</w:t>
      </w:r>
    </w:p>
    <w:p w14:paraId="61FB66D6">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5.3 隐蔽工程检查</w:t>
      </w:r>
      <w:bookmarkEnd w:id="619"/>
    </w:p>
    <w:p w14:paraId="716AD421">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5.3.2承包人提前通知监理人隐蔽工程检查的期限的约定：</w:t>
      </w:r>
      <w:r>
        <w:rPr>
          <w:rFonts w:hint="eastAsia" w:ascii="Times New Roman" w:hAnsi="Times New Roman" w:eastAsia="仿宋_GB2312"/>
          <w:sz w:val="30"/>
          <w:szCs w:val="32"/>
          <w:u w:val="single"/>
        </w:rPr>
        <w:t>工程隐蔽部位经承包人自检确认具备覆盖条件的，承包人应在共同检查前 24 小时书面通知监理人检查，通知中应载明隐蔽检查的内容、时间和地点，并应附有自检记录和必要的检查资料</w:t>
      </w:r>
      <w:r>
        <w:rPr>
          <w:rFonts w:ascii="Times New Roman" w:hAnsi="Times New Roman" w:eastAsia="仿宋_GB2312"/>
          <w:sz w:val="30"/>
          <w:szCs w:val="32"/>
          <w:u w:val="single"/>
        </w:rPr>
        <w:t>。</w:t>
      </w:r>
    </w:p>
    <w:p w14:paraId="4E957ADF">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监理人不能按时进行检查时，应提前</w:t>
      </w:r>
      <w:r>
        <w:rPr>
          <w:rFonts w:hint="eastAsia" w:ascii="Times New Roman" w:hAnsi="Times New Roman" w:eastAsia="仿宋_GB2312"/>
          <w:sz w:val="30"/>
          <w:szCs w:val="32"/>
          <w:u w:val="single"/>
        </w:rPr>
        <w:t xml:space="preserve"> 48 </w:t>
      </w:r>
      <w:r>
        <w:rPr>
          <w:rFonts w:ascii="Times New Roman" w:hAnsi="Times New Roman" w:eastAsia="仿宋_GB2312"/>
          <w:sz w:val="30"/>
          <w:szCs w:val="32"/>
        </w:rPr>
        <w:t>小时提交书面延期要求。</w:t>
      </w:r>
    </w:p>
    <w:p w14:paraId="56675E4F">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关于延期最长不得超过：</w:t>
      </w:r>
      <w:r>
        <w:rPr>
          <w:rFonts w:hint="eastAsia" w:ascii="Times New Roman" w:hAnsi="Times New Roman" w:eastAsia="仿宋_GB2312"/>
          <w:sz w:val="30"/>
          <w:szCs w:val="32"/>
          <w:u w:val="single"/>
        </w:rPr>
        <w:t xml:space="preserve"> 48 </w:t>
      </w:r>
      <w:r>
        <w:rPr>
          <w:rFonts w:ascii="Times New Roman" w:hAnsi="Times New Roman" w:eastAsia="仿宋_GB2312"/>
          <w:sz w:val="30"/>
          <w:szCs w:val="32"/>
        </w:rPr>
        <w:t>小时。</w:t>
      </w:r>
    </w:p>
    <w:p w14:paraId="5A524B4A">
      <w:pPr>
        <w:pStyle w:val="7"/>
        <w:spacing w:before="120" w:after="120" w:line="360" w:lineRule="auto"/>
        <w:rPr>
          <w:rFonts w:ascii="Times New Roman" w:hAnsi="Times New Roman" w:eastAsia="黑体"/>
          <w:b w:val="0"/>
          <w:color w:val="000000"/>
          <w:sz w:val="32"/>
          <w:szCs w:val="32"/>
        </w:rPr>
      </w:pPr>
      <w:bookmarkStart w:id="627" w:name="_Toc351203638"/>
      <w:r>
        <w:rPr>
          <w:rFonts w:ascii="Times New Roman" w:hAnsi="Times New Roman" w:eastAsia="黑体"/>
          <w:b w:val="0"/>
          <w:color w:val="000000"/>
          <w:sz w:val="32"/>
          <w:szCs w:val="32"/>
        </w:rPr>
        <w:t>6. 安全文明施工与环境保护</w:t>
      </w:r>
      <w:bookmarkEnd w:id="627"/>
    </w:p>
    <w:p w14:paraId="452EF67D">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6.1安全文明施工</w:t>
      </w:r>
    </w:p>
    <w:p w14:paraId="1C0FBE5F">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sz w:val="30"/>
          <w:szCs w:val="32"/>
        </w:rPr>
        <w:t>6.1.1</w:t>
      </w:r>
      <w:r>
        <w:rPr>
          <w:rFonts w:ascii="Times New Roman" w:hAnsi="Times New Roman" w:eastAsia="仿宋_GB2312"/>
          <w:color w:val="000000"/>
          <w:sz w:val="30"/>
          <w:szCs w:val="32"/>
        </w:rPr>
        <w:t xml:space="preserve"> 项目安全生产的达标目标及相应事项的约定：</w:t>
      </w:r>
      <w:r>
        <w:rPr>
          <w:rFonts w:hint="eastAsia" w:ascii="Times New Roman" w:hAnsi="Times New Roman" w:eastAsia="仿宋_GB2312"/>
          <w:color w:val="000000"/>
          <w:sz w:val="30"/>
          <w:szCs w:val="32"/>
          <w:u w:val="single"/>
        </w:rPr>
        <w:t>达到《建筑施工安全检查标准》(JGJ59-2011)的要求。</w:t>
      </w:r>
      <w:r>
        <w:rPr>
          <w:rFonts w:hint="eastAsia" w:ascii="Times New Roman" w:hAnsi="Times New Roman" w:eastAsia="仿宋_GB2312"/>
          <w:color w:val="000000"/>
          <w:sz w:val="30"/>
          <w:szCs w:val="32"/>
          <w:u w:val="single"/>
        </w:rPr>
        <w:tab/>
      </w:r>
    </w:p>
    <w:p w14:paraId="4195B65D">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(1)按现行安全文明施工费计取及使用管理的政策文件规定及发包人制订的安全管理制度执行。</w:t>
      </w:r>
    </w:p>
    <w:p w14:paraId="5A22DDCD">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(2)承包人的原因造成事故，由此产生的法律责任和事故责任及费用由承包人全部承担。</w:t>
      </w:r>
    </w:p>
    <w:p w14:paraId="04844F42">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(3)承包人向发包人做出安全承诺，并签订《安全生产目标责任书》和《安全承诺书》。</w:t>
      </w:r>
    </w:p>
    <w:p w14:paraId="442FC645">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(4)承包人在施工过程中，必须严格执行安全生产法的相关规定和强制性安全标准，制定切实可靠的安全技术措施。</w:t>
      </w:r>
    </w:p>
    <w:p w14:paraId="2E2A40E6">
      <w:pPr>
        <w:spacing w:line="360" w:lineRule="auto"/>
        <w:ind w:firstLine="600" w:firstLineChars="200"/>
        <w:jc w:val="left"/>
        <w:rPr>
          <w:rFonts w:ascii="Times New Roman" w:hAnsi="Times New Roman" w:eastAsia="仿宋_GB2312"/>
          <w:sz w:val="30"/>
          <w:szCs w:val="32"/>
        </w:rPr>
      </w:pPr>
      <w:r>
        <w:rPr>
          <w:rFonts w:hint="eastAsia" w:ascii="Times New Roman" w:hAnsi="Times New Roman" w:eastAsia="仿宋_GB2312"/>
          <w:color w:val="000000"/>
          <w:sz w:val="30"/>
          <w:szCs w:val="32"/>
          <w:u w:val="single"/>
        </w:rPr>
        <w:t>(5)接受发包人安全监督和管理，在施工中违反安全管理规定和操作规程、违章作业的，承担违约责任</w:t>
      </w:r>
      <w:r>
        <w:rPr>
          <w:rFonts w:ascii="Times New Roman" w:hAnsi="Times New Roman" w:eastAsia="仿宋_GB2312"/>
          <w:sz w:val="30"/>
          <w:szCs w:val="32"/>
          <w:u w:val="single"/>
        </w:rPr>
        <w:t>。</w:t>
      </w:r>
    </w:p>
    <w:p w14:paraId="7C46F6AD">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6.1.5 文明施工</w:t>
      </w:r>
    </w:p>
    <w:p w14:paraId="790CB465">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00" w:firstLineChars="200"/>
        <w:jc w:val="both"/>
        <w:textAlignment w:val="baseline"/>
        <w:rPr>
          <w:rFonts w:hint="eastAsia" w:ascii="Times New Roman" w:hAnsi="Times New Roman" w:eastAsia="仿宋_GB2312"/>
          <w:sz w:val="30"/>
          <w:szCs w:val="32"/>
        </w:rPr>
      </w:pPr>
      <w:r>
        <w:rPr>
          <w:rFonts w:hint="eastAsia" w:ascii="Times New Roman" w:hAnsi="Times New Roman" w:eastAsia="仿宋_GB2312"/>
          <w:sz w:val="30"/>
          <w:szCs w:val="32"/>
        </w:rPr>
        <w:t>合同当事人对文明施工的要求：</w:t>
      </w:r>
    </w:p>
    <w:p w14:paraId="6049601D">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592" w:firstLineChars="200"/>
        <w:jc w:val="both"/>
        <w:textAlignment w:val="baseline"/>
        <w:rPr>
          <w:rFonts w:hint="eastAsia" w:ascii="方正仿宋_GBK" w:hAnsi="方正仿宋_GBK" w:eastAsia="方正仿宋_GBK" w:cs="方正仿宋_GBK"/>
          <w:b w:val="0"/>
          <w:bCs/>
          <w:color w:val="auto"/>
          <w:spacing w:val="4"/>
          <w:sz w:val="30"/>
          <w:szCs w:val="30"/>
          <w:u w:val="single" w:color="auto"/>
        </w:rPr>
      </w:pPr>
      <w:r>
        <w:rPr>
          <w:rFonts w:hint="eastAsia" w:ascii="方正仿宋_GBK" w:hAnsi="方正仿宋_GBK" w:eastAsia="方正仿宋_GBK" w:cs="方正仿宋_GBK"/>
          <w:b w:val="0"/>
          <w:bCs/>
          <w:color w:val="auto"/>
          <w:spacing w:val="-2"/>
          <w:sz w:val="30"/>
          <w:szCs w:val="30"/>
          <w:u w:val="single" w:color="auto"/>
        </w:rPr>
        <w:t>承包人应按照《房屋建筑和市政基础设施工程施工扬尘控制工作</w:t>
      </w:r>
      <w:r>
        <w:rPr>
          <w:rFonts w:hint="eastAsia" w:ascii="方正仿宋_GBK" w:hAnsi="方正仿宋_GBK" w:eastAsia="方正仿宋_GBK" w:cs="方正仿宋_GBK"/>
          <w:b w:val="0"/>
          <w:bCs/>
          <w:color w:val="auto"/>
          <w:sz w:val="30"/>
          <w:szCs w:val="30"/>
          <w:u w:val="single" w:color="auto"/>
        </w:rPr>
        <w:t>方</w:t>
      </w:r>
      <w:r>
        <w:rPr>
          <w:rFonts w:hint="eastAsia" w:ascii="方正仿宋_GBK" w:hAnsi="方正仿宋_GBK" w:eastAsia="方正仿宋_GBK" w:cs="方正仿宋_GBK"/>
          <w:b w:val="0"/>
          <w:bCs/>
          <w:color w:val="auto"/>
          <w:spacing w:val="-2"/>
          <w:sz w:val="30"/>
          <w:szCs w:val="30"/>
          <w:u w:val="single" w:color="auto"/>
        </w:rPr>
        <w:t>案》</w:t>
      </w:r>
      <w:r>
        <w:rPr>
          <w:rFonts w:hint="eastAsia" w:ascii="方正仿宋_GBK" w:hAnsi="方正仿宋_GBK" w:eastAsia="方正仿宋_GBK" w:cs="方正仿宋_GBK"/>
          <w:b w:val="0"/>
          <w:bCs/>
          <w:color w:val="auto"/>
          <w:spacing w:val="-2"/>
          <w:sz w:val="30"/>
          <w:szCs w:val="30"/>
          <w:u w:val="single" w:color="auto"/>
          <w:lang w:eastAsia="zh-CN"/>
        </w:rPr>
        <w:t>（</w:t>
      </w:r>
      <w:r>
        <w:rPr>
          <w:rFonts w:hint="eastAsia" w:ascii="方正仿宋_GBK" w:hAnsi="方正仿宋_GBK" w:eastAsia="方正仿宋_GBK" w:cs="方正仿宋_GBK"/>
          <w:b w:val="0"/>
          <w:bCs/>
          <w:color w:val="auto"/>
          <w:spacing w:val="-2"/>
          <w:sz w:val="30"/>
          <w:szCs w:val="30"/>
          <w:u w:val="single" w:color="auto"/>
        </w:rPr>
        <w:t>渝建发〔2009〕13号</w:t>
      </w:r>
      <w:r>
        <w:rPr>
          <w:rFonts w:hint="eastAsia" w:ascii="方正仿宋_GBK" w:hAnsi="方正仿宋_GBK" w:eastAsia="方正仿宋_GBK" w:cs="方正仿宋_GBK"/>
          <w:b w:val="0"/>
          <w:bCs/>
          <w:color w:val="auto"/>
          <w:spacing w:val="-2"/>
          <w:sz w:val="30"/>
          <w:szCs w:val="30"/>
          <w:u w:val="single" w:color="auto"/>
          <w:lang w:eastAsia="zh-CN"/>
        </w:rPr>
        <w:t>）</w:t>
      </w:r>
      <w:r>
        <w:rPr>
          <w:rFonts w:hint="eastAsia" w:ascii="方正仿宋_GBK" w:hAnsi="方正仿宋_GBK" w:eastAsia="方正仿宋_GBK" w:cs="方正仿宋_GBK"/>
          <w:b w:val="0"/>
          <w:bCs/>
          <w:color w:val="auto"/>
          <w:spacing w:val="-2"/>
          <w:sz w:val="30"/>
          <w:szCs w:val="30"/>
          <w:u w:val="single" w:color="auto"/>
        </w:rPr>
        <w:t>、《重庆市建设委员会关于印发</w:t>
      </w:r>
      <w:r>
        <w:rPr>
          <w:rFonts w:hint="eastAsia" w:ascii="方正仿宋_GBK" w:hAnsi="方正仿宋_GBK" w:eastAsia="方正仿宋_GBK" w:cs="方正仿宋_GBK"/>
          <w:b w:val="0"/>
          <w:bCs/>
          <w:color w:val="auto"/>
          <w:spacing w:val="-2"/>
          <w:sz w:val="30"/>
          <w:szCs w:val="30"/>
          <w:u w:val="single" w:color="auto"/>
          <w:lang w:eastAsia="zh-CN"/>
        </w:rPr>
        <w:t>〈</w:t>
      </w:r>
      <w:r>
        <w:rPr>
          <w:rFonts w:hint="eastAsia" w:ascii="方正仿宋_GBK" w:hAnsi="方正仿宋_GBK" w:eastAsia="方正仿宋_GBK" w:cs="方正仿宋_GBK"/>
          <w:b w:val="0"/>
          <w:bCs/>
          <w:color w:val="auto"/>
          <w:spacing w:val="-1"/>
          <w:sz w:val="30"/>
          <w:szCs w:val="30"/>
          <w:u w:val="single" w:color="auto"/>
        </w:rPr>
        <w:t>重庆市房屋建筑和市政基础设施工程现场</w:t>
      </w:r>
      <w:r>
        <w:rPr>
          <w:rFonts w:hint="eastAsia" w:ascii="方正仿宋_GBK" w:hAnsi="方正仿宋_GBK" w:eastAsia="方正仿宋_GBK" w:cs="方正仿宋_GBK"/>
          <w:b w:val="0"/>
          <w:bCs/>
          <w:color w:val="auto"/>
          <w:spacing w:val="6"/>
          <w:sz w:val="30"/>
          <w:szCs w:val="30"/>
          <w:u w:val="single" w:color="auto"/>
        </w:rPr>
        <w:t>文</w:t>
      </w:r>
      <w:r>
        <w:rPr>
          <w:rFonts w:hint="eastAsia" w:ascii="方正仿宋_GBK" w:hAnsi="方正仿宋_GBK" w:eastAsia="方正仿宋_GBK" w:cs="方正仿宋_GBK"/>
          <w:b w:val="0"/>
          <w:bCs/>
          <w:color w:val="auto"/>
          <w:spacing w:val="4"/>
          <w:sz w:val="30"/>
          <w:szCs w:val="30"/>
          <w:u w:val="single" w:color="auto"/>
        </w:rPr>
        <w:t>明施工标准</w:t>
      </w:r>
      <w:r>
        <w:rPr>
          <w:rFonts w:hint="eastAsia" w:ascii="方正仿宋_GBK" w:hAnsi="方正仿宋_GBK" w:eastAsia="方正仿宋_GBK" w:cs="方正仿宋_GBK"/>
          <w:b w:val="0"/>
          <w:bCs/>
          <w:color w:val="auto"/>
          <w:spacing w:val="4"/>
          <w:sz w:val="30"/>
          <w:szCs w:val="30"/>
          <w:u w:val="single" w:color="auto"/>
          <w:lang w:eastAsia="zh-CN"/>
        </w:rPr>
        <w:t>〉</w:t>
      </w:r>
      <w:r>
        <w:rPr>
          <w:rFonts w:hint="eastAsia" w:ascii="方正仿宋_GBK" w:hAnsi="方正仿宋_GBK" w:eastAsia="方正仿宋_GBK" w:cs="方正仿宋_GBK"/>
          <w:b w:val="0"/>
          <w:bCs/>
          <w:color w:val="auto"/>
          <w:spacing w:val="4"/>
          <w:sz w:val="30"/>
          <w:szCs w:val="30"/>
          <w:u w:val="single" w:color="auto"/>
        </w:rPr>
        <w:t>的通知》</w:t>
      </w:r>
      <w:r>
        <w:rPr>
          <w:rFonts w:hint="eastAsia" w:ascii="方正仿宋_GBK" w:hAnsi="方正仿宋_GBK" w:eastAsia="方正仿宋_GBK" w:cs="方正仿宋_GBK"/>
          <w:b w:val="0"/>
          <w:bCs/>
          <w:color w:val="auto"/>
          <w:spacing w:val="4"/>
          <w:sz w:val="30"/>
          <w:szCs w:val="30"/>
          <w:u w:val="single" w:color="auto"/>
          <w:lang w:eastAsia="zh-CN"/>
        </w:rPr>
        <w:t>（</w:t>
      </w:r>
      <w:r>
        <w:rPr>
          <w:rFonts w:hint="eastAsia" w:ascii="方正仿宋_GBK" w:hAnsi="方正仿宋_GBK" w:eastAsia="方正仿宋_GBK" w:cs="方正仿宋_GBK"/>
          <w:b w:val="0"/>
          <w:bCs/>
          <w:color w:val="auto"/>
          <w:spacing w:val="4"/>
          <w:sz w:val="30"/>
          <w:szCs w:val="30"/>
          <w:u w:val="single" w:color="auto"/>
        </w:rPr>
        <w:t>渝建发〔2008〕169号</w:t>
      </w:r>
      <w:r>
        <w:rPr>
          <w:rFonts w:hint="eastAsia" w:ascii="方正仿宋_GBK" w:hAnsi="方正仿宋_GBK" w:eastAsia="方正仿宋_GBK" w:cs="方正仿宋_GBK"/>
          <w:b w:val="0"/>
          <w:bCs/>
          <w:color w:val="auto"/>
          <w:spacing w:val="4"/>
          <w:sz w:val="30"/>
          <w:szCs w:val="30"/>
          <w:u w:val="single" w:color="auto"/>
          <w:lang w:eastAsia="zh-CN"/>
        </w:rPr>
        <w:t>）</w:t>
      </w:r>
      <w:r>
        <w:rPr>
          <w:rFonts w:hint="eastAsia" w:ascii="方正仿宋_GBK" w:hAnsi="方正仿宋_GBK" w:eastAsia="方正仿宋_GBK" w:cs="方正仿宋_GBK"/>
          <w:b w:val="0"/>
          <w:bCs/>
          <w:color w:val="auto"/>
          <w:spacing w:val="4"/>
          <w:sz w:val="30"/>
          <w:szCs w:val="30"/>
          <w:u w:val="single" w:color="auto"/>
        </w:rPr>
        <w:t>等相关规定履行好施工扬尘控制、文明施工等责任。</w:t>
      </w:r>
    </w:p>
    <w:p w14:paraId="35C44A68">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04" w:firstLineChars="200"/>
        <w:jc w:val="both"/>
        <w:textAlignment w:val="baseline"/>
        <w:rPr>
          <w:rFonts w:hint="eastAsia" w:ascii="方正仿宋_GBK" w:hAnsi="方正仿宋_GBK" w:eastAsia="方正仿宋_GBK" w:cs="方正仿宋_GBK"/>
          <w:b w:val="0"/>
          <w:bCs/>
          <w:color w:val="auto"/>
          <w:sz w:val="30"/>
          <w:szCs w:val="30"/>
          <w:u w:val="single" w:color="auto"/>
          <w:lang w:eastAsia="zh-CN"/>
        </w:rPr>
      </w:pPr>
      <w:r>
        <w:rPr>
          <w:rFonts w:hint="eastAsia" w:ascii="方正仿宋_GBK" w:hAnsi="方正仿宋_GBK" w:eastAsia="方正仿宋_GBK" w:cs="方正仿宋_GBK"/>
          <w:b w:val="0"/>
          <w:bCs/>
          <w:color w:val="auto"/>
          <w:spacing w:val="1"/>
          <w:sz w:val="30"/>
          <w:szCs w:val="30"/>
          <w:u w:val="single" w:color="auto"/>
        </w:rPr>
        <w:t>承包人应按规定设置施工现场围挡，承包人采用的围挡主体形</w:t>
      </w:r>
      <w:r>
        <w:rPr>
          <w:rFonts w:hint="eastAsia" w:ascii="方正仿宋_GBK" w:hAnsi="方正仿宋_GBK" w:eastAsia="方正仿宋_GBK" w:cs="方正仿宋_GBK"/>
          <w:b w:val="0"/>
          <w:bCs/>
          <w:color w:val="auto"/>
          <w:sz w:val="30"/>
          <w:szCs w:val="30"/>
          <w:u w:val="single" w:color="auto"/>
        </w:rPr>
        <w:t>式应从重庆市城乡建委发布的标准图</w:t>
      </w:r>
      <w:r>
        <w:rPr>
          <w:rFonts w:hint="eastAsia" w:ascii="方正仿宋_GBK" w:hAnsi="方正仿宋_GBK" w:eastAsia="方正仿宋_GBK" w:cs="方正仿宋_GBK"/>
          <w:b w:val="0"/>
          <w:bCs/>
          <w:color w:val="auto"/>
          <w:spacing w:val="10"/>
          <w:sz w:val="30"/>
          <w:szCs w:val="30"/>
          <w:u w:val="single" w:color="auto"/>
        </w:rPr>
        <w:t>集</w:t>
      </w:r>
      <w:r>
        <w:rPr>
          <w:rFonts w:hint="eastAsia" w:ascii="方正仿宋_GBK" w:hAnsi="方正仿宋_GBK" w:eastAsia="方正仿宋_GBK" w:cs="方正仿宋_GBK"/>
          <w:b w:val="0"/>
          <w:bCs/>
          <w:color w:val="auto"/>
          <w:spacing w:val="10"/>
          <w:sz w:val="30"/>
          <w:szCs w:val="30"/>
          <w:u w:val="single" w:color="auto"/>
          <w:lang w:eastAsia="zh-CN"/>
        </w:rPr>
        <w:t>（</w:t>
      </w:r>
      <w:r>
        <w:rPr>
          <w:rFonts w:hint="eastAsia" w:ascii="方正仿宋_GBK" w:hAnsi="方正仿宋_GBK" w:eastAsia="方正仿宋_GBK" w:cs="方正仿宋_GBK"/>
          <w:b w:val="0"/>
          <w:bCs/>
          <w:color w:val="auto"/>
          <w:sz w:val="30"/>
          <w:szCs w:val="30"/>
          <w:u w:val="single" w:color="auto"/>
        </w:rPr>
        <w:t>DJBT</w:t>
      </w:r>
      <w:r>
        <w:rPr>
          <w:rFonts w:hint="eastAsia" w:ascii="方正仿宋_GBK" w:hAnsi="方正仿宋_GBK" w:eastAsia="方正仿宋_GBK" w:cs="方正仿宋_GBK"/>
          <w:b w:val="0"/>
          <w:bCs/>
          <w:color w:val="auto"/>
          <w:spacing w:val="6"/>
          <w:sz w:val="30"/>
          <w:szCs w:val="30"/>
          <w:u w:val="single" w:color="auto"/>
        </w:rPr>
        <w:t>-</w:t>
      </w:r>
      <w:r>
        <w:rPr>
          <w:rFonts w:hint="eastAsia" w:ascii="方正仿宋_GBK" w:hAnsi="方正仿宋_GBK" w:eastAsia="方正仿宋_GBK" w:cs="方正仿宋_GBK"/>
          <w:b w:val="0"/>
          <w:bCs/>
          <w:color w:val="auto"/>
          <w:spacing w:val="5"/>
          <w:sz w:val="30"/>
          <w:szCs w:val="30"/>
          <w:u w:val="single" w:color="auto"/>
        </w:rPr>
        <w:t>062、</w:t>
      </w:r>
      <w:r>
        <w:rPr>
          <w:rFonts w:hint="eastAsia" w:ascii="方正仿宋_GBK" w:hAnsi="方正仿宋_GBK" w:eastAsia="方正仿宋_GBK" w:cs="方正仿宋_GBK"/>
          <w:b w:val="0"/>
          <w:bCs/>
          <w:color w:val="auto"/>
          <w:sz w:val="30"/>
          <w:szCs w:val="30"/>
          <w:u w:val="single" w:color="auto"/>
        </w:rPr>
        <w:t>DJBT</w:t>
      </w:r>
      <w:r>
        <w:rPr>
          <w:rFonts w:hint="eastAsia" w:ascii="方正仿宋_GBK" w:hAnsi="方正仿宋_GBK" w:eastAsia="方正仿宋_GBK" w:cs="方正仿宋_GBK"/>
          <w:b w:val="0"/>
          <w:bCs/>
          <w:color w:val="auto"/>
          <w:spacing w:val="5"/>
          <w:sz w:val="30"/>
          <w:szCs w:val="30"/>
          <w:u w:val="single" w:color="auto"/>
        </w:rPr>
        <w:t>-063</w:t>
      </w:r>
      <w:r>
        <w:rPr>
          <w:rFonts w:hint="eastAsia" w:ascii="方正仿宋_GBK" w:hAnsi="方正仿宋_GBK" w:eastAsia="方正仿宋_GBK" w:cs="方正仿宋_GBK"/>
          <w:b w:val="0"/>
          <w:bCs/>
          <w:color w:val="auto"/>
          <w:spacing w:val="5"/>
          <w:sz w:val="30"/>
          <w:szCs w:val="30"/>
          <w:u w:val="single" w:color="auto"/>
          <w:lang w:eastAsia="zh-CN"/>
        </w:rPr>
        <w:t>）</w:t>
      </w:r>
      <w:r>
        <w:rPr>
          <w:rFonts w:hint="eastAsia" w:ascii="方正仿宋_GBK" w:hAnsi="方正仿宋_GBK" w:eastAsia="方正仿宋_GBK" w:cs="方正仿宋_GBK"/>
          <w:b w:val="0"/>
          <w:bCs/>
          <w:color w:val="auto"/>
          <w:spacing w:val="5"/>
          <w:sz w:val="30"/>
          <w:szCs w:val="30"/>
          <w:u w:val="single" w:color="auto"/>
        </w:rPr>
        <w:t>中选用，做好施工围挡，围挡应整齐美观，承包人按相关要求做好日常维护</w:t>
      </w:r>
      <w:r>
        <w:rPr>
          <w:rFonts w:hint="eastAsia" w:ascii="方正仿宋_GBK" w:hAnsi="方正仿宋_GBK" w:eastAsia="方正仿宋_GBK" w:cs="方正仿宋_GBK"/>
          <w:b w:val="0"/>
          <w:bCs/>
          <w:color w:val="auto"/>
          <w:spacing w:val="-8"/>
          <w:sz w:val="30"/>
          <w:szCs w:val="30"/>
          <w:u w:val="single" w:color="auto"/>
        </w:rPr>
        <w:t>和保</w:t>
      </w:r>
      <w:r>
        <w:rPr>
          <w:rFonts w:hint="eastAsia" w:ascii="方正仿宋_GBK" w:hAnsi="方正仿宋_GBK" w:eastAsia="方正仿宋_GBK" w:cs="方正仿宋_GBK"/>
          <w:b w:val="0"/>
          <w:bCs/>
          <w:color w:val="auto"/>
          <w:spacing w:val="-6"/>
          <w:sz w:val="30"/>
          <w:szCs w:val="30"/>
          <w:u w:val="single" w:color="auto"/>
        </w:rPr>
        <w:t>洁</w:t>
      </w:r>
      <w:r>
        <w:rPr>
          <w:rFonts w:hint="eastAsia" w:ascii="方正仿宋_GBK" w:hAnsi="方正仿宋_GBK" w:eastAsia="方正仿宋_GBK" w:cs="方正仿宋_GBK"/>
          <w:b w:val="0"/>
          <w:bCs/>
          <w:color w:val="auto"/>
          <w:spacing w:val="-4"/>
          <w:sz w:val="30"/>
          <w:szCs w:val="30"/>
          <w:u w:val="single" w:color="auto"/>
        </w:rPr>
        <w:t>，围挡高度满足规范要求，相关费用已包含在签约合同价中。</w:t>
      </w:r>
    </w:p>
    <w:p w14:paraId="450C0C36">
      <w:pPr>
        <w:spacing w:line="360" w:lineRule="auto"/>
        <w:ind w:firstLine="604"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val="0"/>
          <w:bCs/>
          <w:color w:val="auto"/>
          <w:spacing w:val="1"/>
          <w:sz w:val="30"/>
          <w:szCs w:val="30"/>
          <w:u w:val="single" w:color="auto"/>
        </w:rPr>
        <w:t>安全文明施工费的要求与内容、提取支付方</w:t>
      </w:r>
      <w:r>
        <w:rPr>
          <w:rFonts w:hint="eastAsia" w:ascii="方正仿宋_GBK" w:hAnsi="方正仿宋_GBK" w:eastAsia="方正仿宋_GBK" w:cs="方正仿宋_GBK"/>
          <w:b w:val="0"/>
          <w:bCs/>
          <w:color w:val="auto"/>
          <w:sz w:val="30"/>
          <w:szCs w:val="30"/>
          <w:u w:val="single" w:color="auto"/>
        </w:rPr>
        <w:t>法以及违反约定造成损失的赔偿等条款，按照现行规范</w:t>
      </w:r>
      <w:r>
        <w:rPr>
          <w:rFonts w:hint="eastAsia" w:ascii="方正仿宋_GBK" w:hAnsi="方正仿宋_GBK" w:eastAsia="方正仿宋_GBK" w:cs="方正仿宋_GBK"/>
          <w:b w:val="0"/>
          <w:bCs/>
          <w:color w:val="auto"/>
          <w:spacing w:val="-18"/>
          <w:sz w:val="30"/>
          <w:szCs w:val="30"/>
          <w:u w:val="single" w:color="auto"/>
        </w:rPr>
        <w:t>要</w:t>
      </w:r>
      <w:r>
        <w:rPr>
          <w:rFonts w:hint="eastAsia" w:ascii="方正仿宋_GBK" w:hAnsi="方正仿宋_GBK" w:eastAsia="方正仿宋_GBK" w:cs="方正仿宋_GBK"/>
          <w:b w:val="0"/>
          <w:bCs/>
          <w:color w:val="auto"/>
          <w:spacing w:val="-11"/>
          <w:sz w:val="30"/>
          <w:szCs w:val="30"/>
          <w:u w:val="single" w:color="auto"/>
        </w:rPr>
        <w:t>求执行，做到专款专用。</w:t>
      </w:r>
    </w:p>
    <w:p w14:paraId="79AFA799">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6.1.6 关于安全文明施工费支付比例和支付期限的约定：</w:t>
      </w:r>
      <w:r>
        <w:rPr>
          <w:rFonts w:ascii="Times New Roman" w:hAnsi="Times New Roman" w:eastAsia="仿宋_GB2312"/>
          <w:sz w:val="30"/>
          <w:szCs w:val="32"/>
          <w:u w:val="single"/>
        </w:rPr>
        <w:t xml:space="preserve">     </w:t>
      </w:r>
    </w:p>
    <w:p w14:paraId="075B409D">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620"/>
    <w:bookmarkEnd w:id="621"/>
    <w:bookmarkEnd w:id="622"/>
    <w:bookmarkEnd w:id="623"/>
    <w:bookmarkEnd w:id="624"/>
    <w:bookmarkEnd w:id="625"/>
    <w:bookmarkEnd w:id="626"/>
    <w:p w14:paraId="160FD375">
      <w:pPr>
        <w:pStyle w:val="7"/>
        <w:spacing w:before="120" w:after="120" w:line="360" w:lineRule="auto"/>
        <w:rPr>
          <w:rFonts w:ascii="Times New Roman" w:hAnsi="Times New Roman" w:eastAsia="黑体"/>
          <w:b w:val="0"/>
          <w:color w:val="000000"/>
          <w:sz w:val="32"/>
          <w:szCs w:val="32"/>
        </w:rPr>
      </w:pPr>
      <w:bookmarkStart w:id="628" w:name="_Toc351203639"/>
      <w:r>
        <w:rPr>
          <w:rFonts w:ascii="Times New Roman" w:hAnsi="Times New Roman" w:eastAsia="黑体"/>
          <w:b w:val="0"/>
          <w:color w:val="000000"/>
          <w:sz w:val="32"/>
          <w:szCs w:val="32"/>
        </w:rPr>
        <w:t>7. 工期和进度</w:t>
      </w:r>
      <w:bookmarkEnd w:id="628"/>
    </w:p>
    <w:p w14:paraId="7CB40A84">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7.1 施工组织设计</w:t>
      </w:r>
    </w:p>
    <w:p w14:paraId="2AE078F7">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sz w:val="30"/>
          <w:szCs w:val="32"/>
        </w:rPr>
        <w:t>7.1.</w:t>
      </w:r>
      <w:r>
        <w:rPr>
          <w:rFonts w:hint="eastAsia" w:ascii="Times New Roman" w:hAnsi="Times New Roman" w:eastAsia="仿宋_GB2312"/>
          <w:sz w:val="30"/>
          <w:szCs w:val="32"/>
        </w:rPr>
        <w:t xml:space="preserve">1 </w:t>
      </w: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应包括的其他内容</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u w:val="single"/>
          <w:lang w:val="en-US" w:eastAsia="zh-CN"/>
        </w:rPr>
        <w:t xml:space="preserve"> 总进度计划须含网络图、横道图</w:t>
      </w:r>
      <w:r>
        <w:rPr>
          <w:rFonts w:ascii="Times New Roman" w:hAnsi="Times New Roman" w:eastAsia="仿宋_GB2312"/>
          <w:sz w:val="30"/>
          <w:szCs w:val="32"/>
          <w:u w:val="single"/>
        </w:rPr>
        <w:t>。</w:t>
      </w:r>
    </w:p>
    <w:p w14:paraId="09095847">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7.1.2</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施工组织设计的提交和修改</w:t>
      </w:r>
    </w:p>
    <w:p w14:paraId="70800B61">
      <w:pPr>
        <w:autoSpaceDE w:val="0"/>
        <w:autoSpaceDN w:val="0"/>
        <w:adjustRightInd w:val="0"/>
        <w:spacing w:line="360" w:lineRule="auto"/>
        <w:jc w:val="left"/>
        <w:rPr>
          <w:rFonts w:hint="eastAsia" w:ascii="Times New Roman" w:hAnsi="Times New Roman" w:eastAsia="仿宋_GB2312"/>
          <w:sz w:val="30"/>
          <w:szCs w:val="32"/>
        </w:rPr>
      </w:pPr>
      <w:r>
        <w:rPr>
          <w:rFonts w:ascii="Times New Roman" w:hAnsi="Times New Roman" w:eastAsia="仿宋_GB2312"/>
          <w:color w:val="000000"/>
          <w:kern w:val="0"/>
          <w:sz w:val="30"/>
          <w:szCs w:val="32"/>
        </w:rPr>
        <w:t>承包人提交详细施工组织设计的期限的约定：</w:t>
      </w:r>
      <w:r>
        <w:rPr>
          <w:rFonts w:hint="eastAsia" w:ascii="Times New Roman" w:hAnsi="Times New Roman" w:eastAsia="仿宋_GB2312"/>
          <w:color w:val="000000"/>
          <w:kern w:val="0"/>
          <w:sz w:val="30"/>
          <w:szCs w:val="32"/>
          <w:u w:val="single"/>
        </w:rPr>
        <w:t>合同签订后14天内，但至迟不得晚于第7.3.2项〔开工通知〕载明的开工日期前7天</w:t>
      </w:r>
      <w:r>
        <w:rPr>
          <w:rFonts w:ascii="Times New Roman" w:hAnsi="Times New Roman" w:eastAsia="仿宋_GB2312"/>
          <w:sz w:val="30"/>
          <w:szCs w:val="32"/>
          <w:u w:val="single"/>
        </w:rPr>
        <w:t>。</w:t>
      </w:r>
    </w:p>
    <w:p w14:paraId="2B47DCA9">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w:t>
      </w:r>
      <w:r>
        <w:rPr>
          <w:rFonts w:hint="eastAsia" w:ascii="Times New Roman" w:hAnsi="Times New Roman" w:eastAsia="仿宋_GB2312"/>
          <w:color w:val="000000"/>
          <w:sz w:val="30"/>
          <w:szCs w:val="32"/>
        </w:rPr>
        <w:t>详细的施工组织设计</w:t>
      </w:r>
      <w:r>
        <w:rPr>
          <w:rFonts w:ascii="Times New Roman" w:hAnsi="Times New Roman" w:eastAsia="仿宋_GB2312"/>
          <w:color w:val="000000"/>
          <w:sz w:val="30"/>
          <w:szCs w:val="32"/>
        </w:rPr>
        <w:t>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收到施工组织设计后 7 天内</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14:paraId="12FB8F83">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629" w:name="_Toc312677479"/>
      <w:bookmarkStart w:id="630" w:name="_Toc297123514"/>
      <w:bookmarkStart w:id="631" w:name="_Toc303539123"/>
      <w:bookmarkStart w:id="632" w:name="_Toc304295541"/>
      <w:bookmarkStart w:id="633" w:name="_Toc300934966"/>
      <w:bookmarkStart w:id="634" w:name="_Toc312678005"/>
      <w:bookmarkStart w:id="635" w:name="_Toc297216173"/>
      <w:r>
        <w:rPr>
          <w:rFonts w:ascii="Times New Roman" w:hAnsi="Times New Roman" w:eastAsia="黑体"/>
          <w:color w:val="000000"/>
          <w:sz w:val="30"/>
          <w:szCs w:val="32"/>
        </w:rPr>
        <w:t>.2 施工进度计划</w:t>
      </w:r>
    </w:p>
    <w:p w14:paraId="72E33D3D">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7.2.2 施工进度计划的修订</w:t>
      </w:r>
    </w:p>
    <w:p w14:paraId="70DEF5BA">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发包人和监理人在收到修订的施工进度计划后确认或提出修改意见的期限：</w:t>
      </w:r>
      <w:r>
        <w:rPr>
          <w:rFonts w:hint="eastAsia" w:ascii="Times New Roman" w:hAnsi="Times New Roman" w:eastAsia="仿宋_GB2312"/>
          <w:sz w:val="30"/>
          <w:szCs w:val="32"/>
          <w:u w:val="single"/>
        </w:rPr>
        <w:t>在监理人收到施工组织设计后7天内确认或提出修改意见</w:t>
      </w:r>
      <w:r>
        <w:rPr>
          <w:rFonts w:ascii="Times New Roman" w:hAnsi="Times New Roman" w:eastAsia="仿宋_GB2312"/>
          <w:sz w:val="30"/>
          <w:szCs w:val="32"/>
        </w:rPr>
        <w:t>。</w:t>
      </w:r>
    </w:p>
    <w:p w14:paraId="1F70BF86">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7.3 开工</w:t>
      </w:r>
    </w:p>
    <w:p w14:paraId="4480DE8A">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7.3.1 开工准备</w:t>
      </w:r>
    </w:p>
    <w:p w14:paraId="329AB6AA">
      <w:pPr>
        <w:spacing w:line="360" w:lineRule="auto"/>
        <w:ind w:firstLine="645"/>
        <w:jc w:val="left"/>
        <w:rPr>
          <w:rFonts w:ascii="Times New Roman" w:hAnsi="Times New Roman" w:eastAsia="仿宋_GB2312"/>
          <w:color w:val="auto"/>
          <w:sz w:val="30"/>
          <w:szCs w:val="32"/>
          <w:u w:val="single"/>
        </w:rPr>
      </w:pPr>
      <w:r>
        <w:rPr>
          <w:rFonts w:ascii="Times New Roman" w:hAnsi="Times New Roman" w:eastAsia="仿宋_GB2312"/>
          <w:color w:val="auto"/>
          <w:sz w:val="30"/>
          <w:szCs w:val="32"/>
        </w:rPr>
        <w:t>关于承包人提交</w:t>
      </w:r>
      <w:r>
        <w:rPr>
          <w:rFonts w:ascii="Times New Roman" w:hAnsi="Times New Roman" w:eastAsia="仿宋_GB2312"/>
          <w:color w:val="auto"/>
          <w:kern w:val="0"/>
          <w:sz w:val="30"/>
          <w:szCs w:val="32"/>
        </w:rPr>
        <w:t>工程开工报审表的期限：</w:t>
      </w:r>
      <w:r>
        <w:rPr>
          <w:rFonts w:hint="eastAsia" w:ascii="Times New Roman" w:hAnsi="Times New Roman" w:eastAsia="仿宋_GB2312"/>
          <w:color w:val="auto"/>
          <w:kern w:val="0"/>
          <w:sz w:val="30"/>
          <w:szCs w:val="32"/>
          <w:u w:val="single"/>
        </w:rPr>
        <w:t xml:space="preserve">应在合同签订后14天内，但至迟不得晚于开工日期前7天 </w:t>
      </w:r>
      <w:r>
        <w:rPr>
          <w:rFonts w:ascii="Times New Roman" w:hAnsi="Times New Roman" w:eastAsia="仿宋_GB2312"/>
          <w:color w:val="auto"/>
          <w:sz w:val="30"/>
          <w:szCs w:val="32"/>
          <w:u w:val="single"/>
        </w:rPr>
        <w:t>。</w:t>
      </w:r>
    </w:p>
    <w:p w14:paraId="2AED1341">
      <w:pPr>
        <w:spacing w:line="360" w:lineRule="auto"/>
        <w:jc w:val="left"/>
        <w:rPr>
          <w:rFonts w:ascii="Times New Roman" w:hAnsi="Times New Roman" w:eastAsia="仿宋_GB2312"/>
          <w:color w:val="auto"/>
          <w:sz w:val="30"/>
          <w:szCs w:val="32"/>
        </w:rPr>
      </w:pPr>
      <w:r>
        <w:rPr>
          <w:rFonts w:ascii="Times New Roman" w:hAnsi="Times New Roman" w:eastAsia="仿宋_GB2312"/>
          <w:color w:val="auto"/>
          <w:sz w:val="30"/>
          <w:szCs w:val="32"/>
        </w:rPr>
        <w:t>关于发包人应完成的其他开工准备工作及期限：</w:t>
      </w:r>
      <w:r>
        <w:rPr>
          <w:rFonts w:hint="eastAsia" w:ascii="Times New Roman" w:hAnsi="Times New Roman" w:eastAsia="仿宋_GB2312"/>
          <w:color w:val="auto"/>
          <w:kern w:val="0"/>
          <w:sz w:val="30"/>
          <w:szCs w:val="32"/>
          <w:u w:val="single"/>
        </w:rPr>
        <w:t>开工日期前7天</w:t>
      </w:r>
      <w:r>
        <w:rPr>
          <w:rFonts w:hint="eastAsia" w:ascii="Times New Roman" w:hAnsi="Times New Roman" w:eastAsia="仿宋_GB2312"/>
          <w:color w:val="auto"/>
          <w:kern w:val="0"/>
          <w:sz w:val="30"/>
          <w:szCs w:val="32"/>
          <w:u w:val="single"/>
          <w:lang w:val="en-US" w:eastAsia="zh-CN"/>
        </w:rPr>
        <w:t>内</w:t>
      </w:r>
      <w:r>
        <w:rPr>
          <w:rFonts w:ascii="Times New Roman" w:hAnsi="Times New Roman" w:eastAsia="仿宋_GB2312"/>
          <w:color w:val="auto"/>
          <w:sz w:val="30"/>
          <w:szCs w:val="32"/>
        </w:rPr>
        <w:t>。</w:t>
      </w:r>
    </w:p>
    <w:p w14:paraId="513F9066">
      <w:pPr>
        <w:spacing w:line="360" w:lineRule="auto"/>
        <w:jc w:val="left"/>
        <w:rPr>
          <w:rFonts w:ascii="Times New Roman" w:hAnsi="Times New Roman" w:eastAsia="仿宋_GB2312"/>
          <w:color w:val="auto"/>
          <w:sz w:val="30"/>
          <w:szCs w:val="32"/>
        </w:rPr>
      </w:pPr>
      <w:r>
        <w:rPr>
          <w:rFonts w:ascii="Times New Roman" w:hAnsi="Times New Roman" w:eastAsia="仿宋_GB2312"/>
          <w:color w:val="auto"/>
          <w:sz w:val="30"/>
          <w:szCs w:val="32"/>
        </w:rPr>
        <w:t>关于承包人应完成的其他开工准备工作及期限：</w:t>
      </w:r>
      <w:r>
        <w:rPr>
          <w:rFonts w:hint="eastAsia" w:ascii="Times New Roman" w:hAnsi="Times New Roman" w:eastAsia="仿宋_GB2312"/>
          <w:color w:val="auto"/>
          <w:kern w:val="0"/>
          <w:sz w:val="30"/>
          <w:szCs w:val="32"/>
          <w:u w:val="single"/>
        </w:rPr>
        <w:t>开工日期前7天</w:t>
      </w:r>
      <w:r>
        <w:rPr>
          <w:rFonts w:hint="eastAsia" w:ascii="Times New Roman" w:hAnsi="Times New Roman" w:eastAsia="仿宋_GB2312"/>
          <w:color w:val="auto"/>
          <w:kern w:val="0"/>
          <w:sz w:val="30"/>
          <w:szCs w:val="32"/>
          <w:u w:val="single"/>
          <w:lang w:val="en-US" w:eastAsia="zh-CN"/>
        </w:rPr>
        <w:t>内</w:t>
      </w:r>
      <w:r>
        <w:rPr>
          <w:rFonts w:ascii="Times New Roman" w:hAnsi="Times New Roman" w:eastAsia="仿宋_GB2312"/>
          <w:color w:val="auto"/>
          <w:sz w:val="30"/>
          <w:szCs w:val="32"/>
        </w:rPr>
        <w:t>。</w:t>
      </w:r>
    </w:p>
    <w:bookmarkEnd w:id="629"/>
    <w:bookmarkEnd w:id="630"/>
    <w:bookmarkEnd w:id="631"/>
    <w:bookmarkEnd w:id="632"/>
    <w:bookmarkEnd w:id="633"/>
    <w:bookmarkEnd w:id="634"/>
    <w:bookmarkEnd w:id="635"/>
    <w:p w14:paraId="5E90D2D3">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7.4 测量放线</w:t>
      </w:r>
    </w:p>
    <w:p w14:paraId="27E7F5C5">
      <w:pPr>
        <w:spacing w:line="360" w:lineRule="auto"/>
        <w:ind w:firstLine="600" w:firstLineChars="200"/>
        <w:jc w:val="left"/>
        <w:rPr>
          <w:rFonts w:hint="eastAsia" w:ascii="Times New Roman" w:hAnsi="Times New Roman" w:eastAsia="仿宋_GB2312"/>
          <w:sz w:val="30"/>
          <w:szCs w:val="32"/>
          <w:highlight w:val="none"/>
          <w:u w:val="single"/>
        </w:rPr>
      </w:pPr>
      <w:r>
        <w:rPr>
          <w:rFonts w:ascii="Times New Roman" w:hAnsi="Times New Roman" w:eastAsia="仿宋_GB2312"/>
          <w:sz w:val="30"/>
          <w:szCs w:val="32"/>
        </w:rPr>
        <w:t>7.4.1发包人通过监理人向承包人提供测量基准点、基准线和水准点及其书面资料的期限：</w:t>
      </w:r>
      <w:r>
        <w:rPr>
          <w:rFonts w:hint="eastAsia" w:ascii="Times New Roman" w:hAnsi="Times New Roman" w:eastAsia="仿宋_GB2312"/>
          <w:sz w:val="30"/>
          <w:szCs w:val="32"/>
          <w:u w:val="single"/>
        </w:rPr>
        <w:t>开工前7天</w:t>
      </w:r>
      <w:r>
        <w:rPr>
          <w:rFonts w:hint="eastAsia" w:ascii="Times New Roman" w:hAnsi="Times New Roman" w:eastAsia="仿宋_GB2312"/>
          <w:sz w:val="30"/>
          <w:szCs w:val="32"/>
          <w:u w:val="single"/>
          <w:lang w:eastAsia="zh-CN"/>
        </w:rPr>
        <w:t>。</w:t>
      </w:r>
      <w:r>
        <w:rPr>
          <w:rFonts w:hint="eastAsia" w:ascii="Times New Roman" w:hAnsi="Times New Roman" w:eastAsia="仿宋_GB2312"/>
          <w:sz w:val="30"/>
          <w:szCs w:val="32"/>
          <w:u w:val="single"/>
        </w:rPr>
        <w:t>施工控制网的测设：由承包人</w:t>
      </w:r>
      <w:r>
        <w:rPr>
          <w:rFonts w:hint="eastAsia" w:ascii="Times New Roman" w:hAnsi="Times New Roman" w:eastAsia="仿宋_GB2312"/>
          <w:sz w:val="30"/>
          <w:szCs w:val="32"/>
          <w:highlight w:val="none"/>
          <w:u w:val="single"/>
        </w:rPr>
        <w:t>负责。报监理人审批施工控制网资料的期限：开工前7天</w:t>
      </w:r>
      <w:r>
        <w:rPr>
          <w:rFonts w:ascii="Times New Roman" w:hAnsi="Times New Roman" w:eastAsia="仿宋_GB2312"/>
          <w:sz w:val="30"/>
          <w:szCs w:val="32"/>
          <w:highlight w:val="none"/>
          <w:u w:val="single"/>
        </w:rPr>
        <w:t>。</w:t>
      </w:r>
    </w:p>
    <w:p w14:paraId="3E642B2A">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7</w:t>
      </w:r>
      <w:bookmarkStart w:id="636" w:name="_Toc300934968"/>
      <w:bookmarkStart w:id="637" w:name="_Toc297216175"/>
      <w:bookmarkStart w:id="638" w:name="_Toc297123516"/>
      <w:bookmarkStart w:id="639" w:name="_Toc312678010"/>
      <w:bookmarkStart w:id="640" w:name="_Toc303539125"/>
      <w:bookmarkStart w:id="641" w:name="_Toc304295546"/>
      <w:bookmarkStart w:id="642" w:name="_Toc312677484"/>
      <w:r>
        <w:rPr>
          <w:rFonts w:ascii="Times New Roman" w:hAnsi="Times New Roman" w:eastAsia="黑体"/>
          <w:color w:val="000000"/>
          <w:sz w:val="30"/>
          <w:szCs w:val="32"/>
          <w:highlight w:val="none"/>
        </w:rPr>
        <w:t>.5 工期延误</w:t>
      </w:r>
    </w:p>
    <w:bookmarkEnd w:id="636"/>
    <w:bookmarkEnd w:id="637"/>
    <w:bookmarkEnd w:id="638"/>
    <w:bookmarkEnd w:id="639"/>
    <w:bookmarkEnd w:id="640"/>
    <w:bookmarkEnd w:id="641"/>
    <w:bookmarkEnd w:id="642"/>
    <w:p w14:paraId="52D6E4F0">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7</w:t>
      </w:r>
      <w:bookmarkStart w:id="643" w:name="_Toc312677486"/>
      <w:bookmarkStart w:id="644" w:name="_Toc312678012"/>
      <w:bookmarkStart w:id="645" w:name="_Toc318581169"/>
      <w:bookmarkStart w:id="646" w:name="_Toc300934970"/>
      <w:bookmarkStart w:id="647" w:name="_Toc297123518"/>
      <w:bookmarkStart w:id="648" w:name="_Toc297216177"/>
      <w:bookmarkStart w:id="649" w:name="_Toc303539127"/>
      <w:bookmarkStart w:id="650" w:name="_Toc304295548"/>
      <w:r>
        <w:rPr>
          <w:rFonts w:ascii="Times New Roman" w:hAnsi="Times New Roman" w:eastAsia="仿宋_GB2312"/>
          <w:color w:val="000000"/>
          <w:sz w:val="30"/>
          <w:szCs w:val="32"/>
          <w:highlight w:val="none"/>
        </w:rPr>
        <w:t>.5.2 因承包人原因导致工期延误</w:t>
      </w:r>
    </w:p>
    <w:bookmarkEnd w:id="643"/>
    <w:bookmarkEnd w:id="644"/>
    <w:bookmarkEnd w:id="645"/>
    <w:p w14:paraId="3DD43480">
      <w:pPr>
        <w:spacing w:line="360" w:lineRule="auto"/>
        <w:ind w:firstLine="600" w:firstLineChars="200"/>
        <w:jc w:val="left"/>
        <w:rPr>
          <w:rFonts w:hint="eastAsia"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因</w:t>
      </w:r>
      <w:bookmarkStart w:id="651" w:name="_Toc312678013"/>
      <w:bookmarkStart w:id="652" w:name="_Toc312677487"/>
      <w:bookmarkStart w:id="653" w:name="_Toc318581170"/>
      <w:r>
        <w:rPr>
          <w:rFonts w:ascii="Times New Roman" w:hAnsi="Times New Roman" w:eastAsia="仿宋_GB2312"/>
          <w:color w:val="000000"/>
          <w:sz w:val="30"/>
          <w:szCs w:val="32"/>
          <w:highlight w:val="none"/>
        </w:rPr>
        <w:t>承包人原因造成工期延误，逾期竣工违约金的计算方法为：</w:t>
      </w:r>
    </w:p>
    <w:bookmarkEnd w:id="646"/>
    <w:bookmarkEnd w:id="647"/>
    <w:bookmarkEnd w:id="648"/>
    <w:bookmarkEnd w:id="649"/>
    <w:bookmarkEnd w:id="650"/>
    <w:bookmarkEnd w:id="651"/>
    <w:bookmarkEnd w:id="652"/>
    <w:p w14:paraId="593606C7">
      <w:pPr>
        <w:spacing w:line="360" w:lineRule="auto"/>
        <w:jc w:val="left"/>
        <w:rPr>
          <w:rFonts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u w:val="single"/>
        </w:rPr>
        <w:t>每延期竣工一天</w:t>
      </w:r>
      <w:r>
        <w:rPr>
          <w:rFonts w:hint="eastAsia" w:ascii="Times New Roman" w:hAnsi="Times New Roman" w:eastAsia="仿宋_GB2312" w:cs="Times New Roman"/>
          <w:color w:val="000000"/>
          <w:sz w:val="30"/>
          <w:szCs w:val="32"/>
          <w:highlight w:val="none"/>
          <w:u w:val="single"/>
        </w:rPr>
        <w:t>，承包人按  5000 元/天计算逾期竣工违约金，累计违约金上限：   /  万元（不超过签约合同价的 3%） ；承包人支付逾期竣工违约金后，不免除承包人继续完成工程及修补缺陷的义务。</w:t>
      </w:r>
      <w:r>
        <w:rPr>
          <w:rFonts w:hint="eastAsia" w:ascii="Times New Roman" w:hAnsi="Times New Roman" w:eastAsia="仿宋_GB2312"/>
          <w:color w:val="000000"/>
          <w:sz w:val="30"/>
          <w:szCs w:val="32"/>
          <w:highlight w:val="none"/>
          <w:u w:val="single"/>
        </w:rPr>
        <w:t>延期竣工 56 天以上的，发包人有权解除合同，并追究连带损失</w:t>
      </w:r>
      <w:r>
        <w:rPr>
          <w:rFonts w:ascii="Times New Roman" w:hAnsi="Times New Roman" w:eastAsia="仿宋_GB2312"/>
          <w:color w:val="000000"/>
          <w:sz w:val="30"/>
          <w:szCs w:val="32"/>
          <w:highlight w:val="none"/>
        </w:rPr>
        <w:t>。</w:t>
      </w:r>
    </w:p>
    <w:bookmarkEnd w:id="653"/>
    <w:p w14:paraId="3382ACE5">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654" w:name="_Toc297216180"/>
      <w:bookmarkStart w:id="655" w:name="_Toc312678017"/>
      <w:bookmarkStart w:id="656" w:name="_Toc297123521"/>
      <w:bookmarkStart w:id="657" w:name="_Toc300934973"/>
      <w:bookmarkStart w:id="658" w:name="_Toc304295551"/>
      <w:bookmarkStart w:id="659" w:name="_Toc303539130"/>
      <w:r>
        <w:rPr>
          <w:rFonts w:ascii="Times New Roman" w:hAnsi="Times New Roman" w:eastAsia="黑体"/>
          <w:color w:val="000000"/>
          <w:sz w:val="30"/>
          <w:szCs w:val="32"/>
        </w:rPr>
        <w:t>.7异常恶劣的气候条件</w:t>
      </w:r>
    </w:p>
    <w:bookmarkEnd w:id="654"/>
    <w:bookmarkEnd w:id="655"/>
    <w:bookmarkEnd w:id="656"/>
    <w:bookmarkEnd w:id="657"/>
    <w:bookmarkEnd w:id="658"/>
    <w:bookmarkEnd w:id="659"/>
    <w:p w14:paraId="5F91E2B2">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发包人和承包人同意以下情形视为异常恶劣的气候条件：</w:t>
      </w:r>
    </w:p>
    <w:p w14:paraId="16514E42">
      <w:pPr>
        <w:spacing w:line="360" w:lineRule="auto"/>
        <w:ind w:firstLine="600" w:firstLineChars="200"/>
        <w:jc w:val="left"/>
        <w:rPr>
          <w:rFonts w:hint="eastAsia" w:ascii="Times New Roman" w:hAnsi="Times New Roman" w:eastAsia="仿宋_GB2312"/>
          <w:sz w:val="30"/>
          <w:szCs w:val="32"/>
          <w:u w:val="single"/>
          <w:lang w:eastAsia="zh-CN"/>
        </w:rPr>
      </w:pPr>
      <w:r>
        <w:rPr>
          <w:rFonts w:hint="eastAsia" w:ascii="Times New Roman" w:hAnsi="Times New Roman" w:eastAsia="仿宋_GB2312"/>
          <w:sz w:val="30"/>
          <w:szCs w:val="32"/>
          <w:u w:val="single"/>
        </w:rPr>
        <w:t>（异常恶劣气候是指项目所在地 50 年以上一遇的罕见恶劣气候现象）</w:t>
      </w:r>
      <w:r>
        <w:rPr>
          <w:rFonts w:hint="eastAsia" w:ascii="Times New Roman" w:hAnsi="Times New Roman" w:eastAsia="仿宋_GB2312"/>
          <w:sz w:val="30"/>
          <w:szCs w:val="32"/>
          <w:u w:val="single"/>
          <w:lang w:eastAsia="zh-CN"/>
        </w:rPr>
        <w:t>。</w:t>
      </w:r>
    </w:p>
    <w:p w14:paraId="367D336D">
      <w:pPr>
        <w:spacing w:after="120" w:line="360" w:lineRule="auto"/>
        <w:ind w:firstLine="600" w:firstLineChars="200"/>
        <w:outlineLvl w:val="0"/>
        <w:rPr>
          <w:rFonts w:ascii="Times New Roman" w:hAnsi="Times New Roman" w:eastAsia="黑体"/>
          <w:color w:val="000000"/>
          <w:sz w:val="30"/>
          <w:szCs w:val="32"/>
        </w:rPr>
      </w:pPr>
      <w:bookmarkStart w:id="660" w:name="_Toc11436"/>
      <w:r>
        <w:rPr>
          <w:rFonts w:ascii="Times New Roman" w:hAnsi="Times New Roman" w:eastAsia="黑体"/>
          <w:color w:val="000000"/>
          <w:sz w:val="30"/>
          <w:szCs w:val="32"/>
        </w:rPr>
        <w:t>7.9 提前竣工的奖励</w:t>
      </w:r>
      <w:bookmarkEnd w:id="660"/>
    </w:p>
    <w:p w14:paraId="1E3A0CA4">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7.9.2提前竣工的奖励：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无奖励</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14:paraId="7D1B561C">
      <w:pPr>
        <w:pStyle w:val="7"/>
        <w:spacing w:before="120" w:after="120" w:line="360" w:lineRule="auto"/>
        <w:rPr>
          <w:rFonts w:ascii="Times New Roman" w:hAnsi="Times New Roman" w:eastAsia="黑体"/>
          <w:b w:val="0"/>
          <w:color w:val="000000"/>
          <w:sz w:val="32"/>
          <w:szCs w:val="32"/>
        </w:rPr>
      </w:pPr>
      <w:bookmarkStart w:id="661" w:name="_Toc351203640"/>
      <w:r>
        <w:rPr>
          <w:rFonts w:ascii="Times New Roman" w:hAnsi="Times New Roman" w:eastAsia="黑体"/>
          <w:b w:val="0"/>
          <w:color w:val="000000"/>
          <w:sz w:val="32"/>
          <w:szCs w:val="32"/>
        </w:rPr>
        <w:t>8. 材料与设备</w:t>
      </w:r>
      <w:bookmarkEnd w:id="661"/>
    </w:p>
    <w:bookmarkEnd w:id="608"/>
    <w:bookmarkEnd w:id="609"/>
    <w:bookmarkEnd w:id="610"/>
    <w:bookmarkEnd w:id="611"/>
    <w:bookmarkEnd w:id="612"/>
    <w:bookmarkEnd w:id="613"/>
    <w:bookmarkEnd w:id="614"/>
    <w:bookmarkEnd w:id="615"/>
    <w:bookmarkEnd w:id="616"/>
    <w:bookmarkEnd w:id="617"/>
    <w:p w14:paraId="04034358">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8</w:t>
      </w:r>
      <w:bookmarkStart w:id="662" w:name="_Toc296347166"/>
      <w:bookmarkStart w:id="663" w:name="_Toc296890995"/>
      <w:bookmarkStart w:id="664" w:name="_Toc280868654"/>
      <w:bookmarkStart w:id="665" w:name="_Toc292559877"/>
      <w:bookmarkStart w:id="666" w:name="_Toc304295556"/>
      <w:bookmarkStart w:id="667" w:name="_Toc312677493"/>
      <w:bookmarkStart w:id="668" w:name="_Toc312678019"/>
      <w:bookmarkStart w:id="669" w:name="_Toc303539136"/>
      <w:bookmarkStart w:id="670" w:name="_Toc297048353"/>
      <w:bookmarkStart w:id="671" w:name="_Toc296503167"/>
      <w:bookmarkStart w:id="672" w:name="_Toc292559372"/>
      <w:bookmarkStart w:id="673" w:name="_Toc297123527"/>
      <w:bookmarkStart w:id="674" w:name="_Toc297120467"/>
      <w:bookmarkStart w:id="675" w:name="_Toc296346668"/>
      <w:bookmarkStart w:id="676" w:name="_Toc296944506"/>
      <w:bookmarkStart w:id="677" w:name="_Toc300934979"/>
      <w:bookmarkStart w:id="678" w:name="_Toc296891207"/>
      <w:bookmarkStart w:id="679" w:name="_Toc297216186"/>
      <w:bookmarkStart w:id="680" w:name="_Toc280868656"/>
      <w:bookmarkStart w:id="681" w:name="_Toc267251424"/>
      <w:bookmarkStart w:id="682" w:name="_Toc280868655"/>
      <w:r>
        <w:rPr>
          <w:rFonts w:ascii="Times New Roman" w:hAnsi="Times New Roman" w:eastAsia="黑体"/>
          <w:color w:val="000000"/>
          <w:sz w:val="30"/>
          <w:szCs w:val="32"/>
        </w:rPr>
        <w:t>.4材料与工程设备的保管与使用</w:t>
      </w:r>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14:paraId="77B9957E">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8</w:t>
      </w:r>
      <w:bookmarkStart w:id="683" w:name="_Toc292559878"/>
      <w:bookmarkStart w:id="684" w:name="_Toc292559373"/>
      <w:bookmarkStart w:id="685" w:name="_Toc297216187"/>
      <w:bookmarkStart w:id="686" w:name="_Toc296347167"/>
      <w:bookmarkStart w:id="687" w:name="_Toc297048354"/>
      <w:bookmarkStart w:id="688" w:name="_Toc312677494"/>
      <w:bookmarkStart w:id="689" w:name="_Toc303539137"/>
      <w:bookmarkStart w:id="690" w:name="_Toc296891208"/>
      <w:bookmarkStart w:id="691" w:name="_Toc296503168"/>
      <w:bookmarkStart w:id="692" w:name="_Toc297120468"/>
      <w:bookmarkStart w:id="693" w:name="_Toc318581173"/>
      <w:bookmarkStart w:id="694" w:name="_Toc297123528"/>
      <w:bookmarkStart w:id="695" w:name="_Toc304295557"/>
      <w:bookmarkStart w:id="696" w:name="_Toc300934980"/>
      <w:bookmarkStart w:id="697" w:name="_Toc296890996"/>
      <w:bookmarkStart w:id="698" w:name="_Toc296346669"/>
      <w:bookmarkStart w:id="699" w:name="_Toc296944507"/>
      <w:bookmarkStart w:id="700" w:name="_Toc312678020"/>
      <w:r>
        <w:rPr>
          <w:rFonts w:ascii="Times New Roman" w:hAnsi="Times New Roman" w:eastAsia="仿宋_GB2312"/>
          <w:sz w:val="30"/>
          <w:szCs w:val="32"/>
        </w:rPr>
        <w:t>.4.1发包人供应的材料设备的保管费用的承担：</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bookmarkEnd w:id="683"/>
    <w:bookmarkEnd w:id="684"/>
    <w:p w14:paraId="3834472B">
      <w:pPr>
        <w:spacing w:after="120" w:line="360" w:lineRule="auto"/>
        <w:ind w:firstLine="600" w:firstLineChars="200"/>
        <w:outlineLvl w:val="0"/>
        <w:rPr>
          <w:rFonts w:ascii="Times New Roman" w:hAnsi="Times New Roman" w:eastAsia="黑体"/>
          <w:color w:val="000000"/>
          <w:sz w:val="30"/>
          <w:szCs w:val="32"/>
        </w:rPr>
      </w:pPr>
      <w:bookmarkStart w:id="701" w:name="_Toc12112"/>
      <w:r>
        <w:rPr>
          <w:rFonts w:ascii="Times New Roman" w:hAnsi="Times New Roman" w:eastAsia="黑体"/>
          <w:color w:val="000000"/>
          <w:sz w:val="30"/>
          <w:szCs w:val="32"/>
        </w:rPr>
        <w:t>8.6 样品</w:t>
      </w:r>
      <w:bookmarkEnd w:id="701"/>
    </w:p>
    <w:p w14:paraId="3B3E8EFB">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8.6.1</w:t>
      </w:r>
      <w:r>
        <w:rPr>
          <w:rFonts w:ascii="Times New Roman" w:hAnsi="Times New Roman" w:eastAsia="仿宋_GB2312"/>
          <w:color w:val="000000"/>
          <w:kern w:val="0"/>
          <w:sz w:val="30"/>
          <w:szCs w:val="32"/>
        </w:rPr>
        <w:tab/>
      </w:r>
      <w:r>
        <w:rPr>
          <w:rFonts w:ascii="Times New Roman" w:hAnsi="Times New Roman" w:eastAsia="仿宋_GB2312"/>
          <w:color w:val="000000"/>
          <w:kern w:val="0"/>
          <w:sz w:val="30"/>
          <w:szCs w:val="32"/>
        </w:rPr>
        <w:t>样品的报送</w:t>
      </w:r>
      <w:r>
        <w:rPr>
          <w:rFonts w:hint="eastAsia" w:ascii="Times New Roman" w:hAnsi="Times New Roman" w:eastAsia="仿宋_GB2312"/>
          <w:color w:val="000000"/>
          <w:kern w:val="0"/>
          <w:sz w:val="30"/>
          <w:szCs w:val="32"/>
        </w:rPr>
        <w:t>与封存</w:t>
      </w:r>
    </w:p>
    <w:p w14:paraId="60DB96C5">
      <w:pPr>
        <w:autoSpaceDE w:val="0"/>
        <w:autoSpaceDN w:val="0"/>
        <w:adjustRightInd w:val="0"/>
        <w:spacing w:line="360" w:lineRule="auto"/>
        <w:jc w:val="left"/>
        <w:rPr>
          <w:rFonts w:ascii="Times New Roman" w:hAnsi="Times New Roman" w:eastAsia="仿宋_GB2312"/>
          <w:sz w:val="30"/>
          <w:szCs w:val="32"/>
        </w:rPr>
      </w:pPr>
      <w:r>
        <w:rPr>
          <w:rFonts w:ascii="Times New Roman" w:hAnsi="Times New Roman" w:eastAsia="仿宋_GB2312"/>
          <w:color w:val="000000"/>
          <w:kern w:val="0"/>
          <w:sz w:val="30"/>
          <w:szCs w:val="32"/>
        </w:rPr>
        <w:t>需要承包人报送样品的材料或工程设备，样品的种类、名称、规格、数量要求：</w:t>
      </w:r>
      <w:r>
        <w:rPr>
          <w:rFonts w:hint="eastAsia" w:ascii="Times New Roman" w:hAnsi="Times New Roman" w:eastAsia="仿宋_GB2312"/>
          <w:color w:val="000000"/>
          <w:kern w:val="0"/>
          <w:sz w:val="30"/>
          <w:szCs w:val="32"/>
          <w:u w:val="single"/>
        </w:rPr>
        <w:t>承包人报送的样品均应来自供应材料的实际生产地，且提供的样品的规格、数量足以表明材料或工程设备的质量、型号、颜色、表面处理、质地、误差和其他要求的特征。 （2）承包人每次报送样品时应随附申报单，申报单应载明报送样品的相关数据和资料，并标明每件样品对应的图纸号，预留监理人批复意见栏。 监理人应在收到承包人报送的样品后7天向承包人回复经发包人签认的样品审批意见。 （3）经发包人和监理人审批确认的样品应按约定的方法封样，封存的样品作为检验工程相关部分的标准之一</w:t>
      </w:r>
      <w:r>
        <w:rPr>
          <w:rFonts w:ascii="Times New Roman" w:hAnsi="Times New Roman" w:eastAsia="仿宋_GB2312"/>
          <w:sz w:val="30"/>
          <w:szCs w:val="32"/>
          <w:u w:val="single"/>
        </w:rPr>
        <w:t>。</w:t>
      </w:r>
    </w:p>
    <w:p w14:paraId="17A0ECB2">
      <w:pPr>
        <w:spacing w:after="120" w:line="360" w:lineRule="auto"/>
        <w:ind w:firstLine="600" w:firstLineChars="200"/>
        <w:outlineLvl w:val="0"/>
        <w:rPr>
          <w:rFonts w:ascii="Times New Roman" w:hAnsi="Times New Roman" w:eastAsia="黑体"/>
          <w:color w:val="000000"/>
          <w:sz w:val="30"/>
          <w:szCs w:val="32"/>
        </w:rPr>
      </w:pPr>
      <w:bookmarkStart w:id="702" w:name="_Toc9856"/>
      <w:r>
        <w:rPr>
          <w:rFonts w:ascii="Times New Roman" w:hAnsi="Times New Roman" w:eastAsia="黑体"/>
          <w:color w:val="000000"/>
          <w:sz w:val="30"/>
          <w:szCs w:val="32"/>
        </w:rPr>
        <w:t>8.8 施工设备和临时设施</w:t>
      </w:r>
      <w:bookmarkEnd w:id="702"/>
    </w:p>
    <w:p w14:paraId="65C4F7F5">
      <w:pPr>
        <w:autoSpaceDE w:val="0"/>
        <w:autoSpaceDN w:val="0"/>
        <w:adjustRightInd w:val="0"/>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8.8.1 承包人提供的施工设备和临时设施</w:t>
      </w:r>
    </w:p>
    <w:p w14:paraId="209D38D0">
      <w:pPr>
        <w:autoSpaceDE w:val="0"/>
        <w:autoSpaceDN w:val="0"/>
        <w:adjustRightInd w:val="0"/>
        <w:spacing w:line="360" w:lineRule="auto"/>
        <w:jc w:val="left"/>
        <w:rPr>
          <w:rFonts w:hint="eastAsia" w:ascii="Times New Roman" w:hAnsi="Times New Roman" w:eastAsia="仿宋_GB2312"/>
          <w:color w:val="000000"/>
          <w:sz w:val="30"/>
          <w:szCs w:val="32"/>
          <w:lang w:eastAsia="zh-CN"/>
        </w:rPr>
      </w:pPr>
      <w:r>
        <w:rPr>
          <w:rFonts w:ascii="Times New Roman" w:hAnsi="Times New Roman" w:eastAsia="仿宋_GB2312"/>
          <w:sz w:val="30"/>
          <w:szCs w:val="32"/>
        </w:rPr>
        <w:t>关于修建临时设施费用承担的约定</w:t>
      </w:r>
      <w:r>
        <w:rPr>
          <w:rFonts w:ascii="Times New Roman" w:hAnsi="Times New Roman" w:eastAsia="仿宋_GB2312"/>
          <w:color w:val="000000"/>
          <w:sz w:val="30"/>
          <w:szCs w:val="32"/>
        </w:rPr>
        <w:t>：</w:t>
      </w:r>
      <w:r>
        <w:rPr>
          <w:rFonts w:hint="eastAsia" w:ascii="Times New Roman" w:hAnsi="Times New Roman" w:eastAsia="仿宋_GB2312" w:cs="Times New Roman"/>
          <w:color w:val="000000"/>
          <w:sz w:val="30"/>
          <w:szCs w:val="32"/>
          <w:u w:val="single"/>
        </w:rPr>
        <w:t>除专用合同条款另有约定外，承包人应自行承担修建临时设施的费用</w:t>
      </w:r>
      <w:r>
        <w:rPr>
          <w:rFonts w:hint="eastAsia" w:ascii="Times New Roman" w:hAnsi="Times New Roman" w:eastAsia="仿宋_GB2312" w:cs="Times New Roman"/>
          <w:color w:val="000000"/>
          <w:sz w:val="30"/>
          <w:szCs w:val="32"/>
          <w:u w:val="single"/>
          <w:lang w:eastAsia="zh-CN"/>
        </w:rPr>
        <w:t>；</w:t>
      </w:r>
      <w:r>
        <w:rPr>
          <w:rFonts w:hint="eastAsia" w:ascii="Times New Roman" w:hAnsi="Times New Roman" w:eastAsia="仿宋_GB2312" w:cs="Times New Roman"/>
          <w:color w:val="000000"/>
          <w:sz w:val="30"/>
          <w:szCs w:val="32"/>
          <w:u w:val="single"/>
        </w:rPr>
        <w:t>临时占地的，应由发包人办理申请手续并承担相应费用。</w:t>
      </w:r>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14:paraId="2CEB965F">
      <w:pPr>
        <w:pStyle w:val="7"/>
        <w:spacing w:before="120" w:after="120" w:line="360" w:lineRule="auto"/>
        <w:rPr>
          <w:rFonts w:ascii="Times New Roman" w:hAnsi="Times New Roman" w:eastAsia="黑体"/>
          <w:b w:val="0"/>
          <w:color w:val="000000"/>
          <w:sz w:val="32"/>
          <w:szCs w:val="32"/>
        </w:rPr>
      </w:pPr>
      <w:bookmarkStart w:id="703" w:name="_Toc351203641"/>
      <w:r>
        <w:rPr>
          <w:rFonts w:ascii="Times New Roman" w:hAnsi="Times New Roman" w:eastAsia="黑体"/>
          <w:b w:val="0"/>
          <w:color w:val="000000"/>
          <w:sz w:val="32"/>
          <w:szCs w:val="32"/>
        </w:rPr>
        <w:t>9</w:t>
      </w:r>
      <w:bookmarkEnd w:id="680"/>
      <w:bookmarkEnd w:id="681"/>
      <w:bookmarkEnd w:id="682"/>
      <w:bookmarkStart w:id="704" w:name="_Toc312677495"/>
      <w:bookmarkStart w:id="705" w:name="_Toc303539139"/>
      <w:bookmarkStart w:id="706" w:name="_Toc297123533"/>
      <w:bookmarkStart w:id="707" w:name="_Toc300934982"/>
      <w:bookmarkStart w:id="708" w:name="_Toc304295559"/>
      <w:bookmarkStart w:id="709" w:name="_Toc297216192"/>
      <w:bookmarkStart w:id="710" w:name="_Toc312678021"/>
      <w:bookmarkStart w:id="711" w:name="_Toc296347172"/>
      <w:bookmarkStart w:id="712" w:name="_Toc292559883"/>
      <w:bookmarkStart w:id="713" w:name="_Toc267251428"/>
      <w:bookmarkStart w:id="714" w:name="_Toc296503173"/>
      <w:bookmarkStart w:id="715" w:name="_Toc296944512"/>
      <w:bookmarkStart w:id="716" w:name="_Toc297120473"/>
      <w:bookmarkStart w:id="717" w:name="_Toc296891001"/>
      <w:bookmarkStart w:id="718" w:name="_Toc297048359"/>
      <w:bookmarkStart w:id="719" w:name="_Toc292559378"/>
      <w:bookmarkStart w:id="720" w:name="_Toc296891213"/>
      <w:bookmarkStart w:id="721" w:name="_Toc296346674"/>
      <w:bookmarkStart w:id="722" w:name="_Toc267251427"/>
      <w:r>
        <w:rPr>
          <w:rFonts w:ascii="Times New Roman" w:hAnsi="Times New Roman" w:eastAsia="黑体"/>
          <w:b w:val="0"/>
          <w:color w:val="000000"/>
          <w:sz w:val="32"/>
          <w:szCs w:val="32"/>
        </w:rPr>
        <w:t>. 试验与检验</w:t>
      </w:r>
      <w:bookmarkEnd w:id="703"/>
    </w:p>
    <w:bookmarkEnd w:id="704"/>
    <w:bookmarkEnd w:id="705"/>
    <w:bookmarkEnd w:id="706"/>
    <w:bookmarkEnd w:id="707"/>
    <w:bookmarkEnd w:id="708"/>
    <w:bookmarkEnd w:id="709"/>
    <w:bookmarkEnd w:id="710"/>
    <w:p w14:paraId="4AC39C7D">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9</w:t>
      </w:r>
      <w:bookmarkStart w:id="723" w:name="_Toc297123534"/>
      <w:bookmarkStart w:id="724" w:name="_Toc312677496"/>
      <w:bookmarkStart w:id="725" w:name="_Toc312678022"/>
      <w:bookmarkStart w:id="726" w:name="_Toc304295560"/>
      <w:bookmarkStart w:id="727" w:name="_Toc300934983"/>
      <w:bookmarkStart w:id="728" w:name="_Toc297216193"/>
      <w:bookmarkStart w:id="729" w:name="_Toc303539140"/>
      <w:r>
        <w:rPr>
          <w:rFonts w:ascii="Times New Roman" w:hAnsi="Times New Roman" w:eastAsia="黑体"/>
          <w:color w:val="000000"/>
          <w:sz w:val="30"/>
          <w:szCs w:val="32"/>
        </w:rPr>
        <w:t>.1试验设备与试验人员</w:t>
      </w:r>
    </w:p>
    <w:bookmarkEnd w:id="723"/>
    <w:bookmarkEnd w:id="724"/>
    <w:bookmarkEnd w:id="725"/>
    <w:bookmarkEnd w:id="726"/>
    <w:bookmarkEnd w:id="727"/>
    <w:bookmarkEnd w:id="728"/>
    <w:bookmarkEnd w:id="729"/>
    <w:p w14:paraId="526E582D">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9</w:t>
      </w:r>
      <w:bookmarkStart w:id="730" w:name="_Toc312678023"/>
      <w:bookmarkStart w:id="731" w:name="_Toc300934984"/>
      <w:bookmarkStart w:id="732" w:name="_Toc312677497"/>
      <w:bookmarkStart w:id="733" w:name="_Toc304295561"/>
      <w:bookmarkStart w:id="734" w:name="_Toc297123535"/>
      <w:bookmarkStart w:id="735" w:name="_Toc303539141"/>
      <w:bookmarkStart w:id="736" w:name="_Toc297216194"/>
      <w:bookmarkStart w:id="737" w:name="_Toc318581174"/>
      <w:r>
        <w:rPr>
          <w:rFonts w:ascii="Times New Roman" w:hAnsi="Times New Roman" w:eastAsia="仿宋_GB2312"/>
          <w:sz w:val="30"/>
          <w:szCs w:val="32"/>
        </w:rPr>
        <w:t>.1.2 试验设备</w:t>
      </w:r>
    </w:p>
    <w:p w14:paraId="2EB9C874">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施工现场需要配置的试验场所：</w:t>
      </w:r>
      <w:bookmarkEnd w:id="730"/>
      <w:bookmarkEnd w:id="731"/>
      <w:bookmarkEnd w:id="732"/>
      <w:bookmarkEnd w:id="733"/>
      <w:bookmarkEnd w:id="734"/>
      <w:bookmarkEnd w:id="735"/>
      <w:bookmarkEnd w:id="736"/>
      <w:bookmarkStart w:id="738" w:name="_Toc297123536"/>
      <w:bookmarkStart w:id="739" w:name="_Toc312678024"/>
      <w:bookmarkStart w:id="740" w:name="_Toc312677498"/>
      <w:bookmarkStart w:id="741" w:name="_Toc297216195"/>
      <w:bookmarkStart w:id="742" w:name="_Toc303539142"/>
      <w:bookmarkStart w:id="743" w:name="_Toc304295562"/>
      <w:bookmarkStart w:id="744" w:name="_Toc300934985"/>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2A587283">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施工现场需要配备的试验设备：</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155EC7F6">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施工现场需要具备的其他试验条件：</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1839F704">
      <w:pPr>
        <w:spacing w:after="120" w:line="360" w:lineRule="auto"/>
        <w:ind w:firstLine="600" w:firstLineChars="200"/>
        <w:outlineLvl w:val="0"/>
        <w:rPr>
          <w:rFonts w:ascii="Times New Roman" w:hAnsi="Times New Roman" w:eastAsia="黑体"/>
          <w:color w:val="000000"/>
          <w:sz w:val="30"/>
          <w:szCs w:val="32"/>
        </w:rPr>
      </w:pPr>
      <w:bookmarkStart w:id="745" w:name="_Toc22599"/>
      <w:r>
        <w:rPr>
          <w:rFonts w:ascii="Times New Roman" w:hAnsi="Times New Roman" w:eastAsia="黑体"/>
          <w:color w:val="000000"/>
          <w:sz w:val="30"/>
          <w:szCs w:val="32"/>
        </w:rPr>
        <w:t>9.4 现场工艺试验</w:t>
      </w:r>
      <w:bookmarkEnd w:id="745"/>
      <w:r>
        <w:rPr>
          <w:rFonts w:hint="eastAsia" w:ascii="Times New Roman" w:hAnsi="Times New Roman" w:eastAsia="黑体"/>
          <w:color w:val="000000"/>
          <w:sz w:val="30"/>
          <w:szCs w:val="32"/>
        </w:rPr>
        <w:t xml:space="preserve"> </w:t>
      </w:r>
    </w:p>
    <w:p w14:paraId="20230F83">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现场工艺试验的有关约定：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2C6CF784">
      <w:pPr>
        <w:pStyle w:val="51"/>
        <w:ind w:left="0" w:leftChars="0" w:firstLine="0" w:firstLineChars="0"/>
        <w:jc w:val="both"/>
        <w:rPr>
          <w:rFonts w:hint="eastAsia" w:ascii="黑体" w:hAnsi="黑体" w:eastAsia="黑体" w:cs="黑体"/>
          <w:b w:val="0"/>
          <w:bCs w:val="0"/>
          <w:sz w:val="32"/>
          <w:szCs w:val="32"/>
          <w:highlight w:val="none"/>
          <w:u w:val="none"/>
        </w:rPr>
      </w:pPr>
      <w:r>
        <w:rPr>
          <w:rFonts w:hint="eastAsia" w:ascii="黑体" w:hAnsi="黑体" w:eastAsia="黑体" w:cs="黑体"/>
          <w:b w:val="0"/>
          <w:bCs w:val="0"/>
          <w:sz w:val="32"/>
          <w:szCs w:val="32"/>
          <w:highlight w:val="none"/>
          <w:u w:val="none"/>
        </w:rPr>
        <w:t>9. 试验与检验</w:t>
      </w:r>
    </w:p>
    <w:p w14:paraId="04EF46B4">
      <w:pPr>
        <w:pStyle w:val="51"/>
        <w:ind w:firstLine="600" w:firstLineChars="200"/>
        <w:jc w:val="both"/>
        <w:rPr>
          <w:rFonts w:hint="eastAsia" w:ascii="黑体" w:hAnsi="黑体" w:eastAsia="黑体" w:cs="黑体"/>
          <w:b w:val="0"/>
          <w:bCs w:val="0"/>
          <w:sz w:val="30"/>
          <w:szCs w:val="32"/>
          <w:highlight w:val="none"/>
          <w:u w:val="none"/>
        </w:rPr>
      </w:pPr>
      <w:r>
        <w:rPr>
          <w:rFonts w:hint="eastAsia" w:ascii="黑体" w:hAnsi="黑体" w:eastAsia="黑体" w:cs="黑体"/>
          <w:b w:val="0"/>
          <w:bCs w:val="0"/>
          <w:sz w:val="30"/>
          <w:szCs w:val="32"/>
          <w:highlight w:val="none"/>
          <w:u w:val="none"/>
        </w:rPr>
        <w:t>9.1 试验设备与试验人员</w:t>
      </w:r>
    </w:p>
    <w:p w14:paraId="75A4C221">
      <w:pPr>
        <w:pStyle w:val="51"/>
        <w:ind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9.1.2 试验设备</w:t>
      </w:r>
    </w:p>
    <w:p w14:paraId="7B474BA5">
      <w:pPr>
        <w:pStyle w:val="51"/>
        <w:ind w:firstLine="600" w:firstLineChars="200"/>
        <w:jc w:val="both"/>
        <w:rPr>
          <w:rFonts w:hint="eastAsia" w:ascii="Times New Roman" w:hAnsi="Times New Roman" w:eastAsia="仿宋_GB2312"/>
          <w:sz w:val="30"/>
          <w:szCs w:val="32"/>
          <w:highlight w:val="none"/>
          <w:u w:val="single"/>
        </w:rPr>
      </w:pPr>
      <w:r>
        <w:rPr>
          <w:rFonts w:hint="eastAsia" w:ascii="Times New Roman" w:hAnsi="Times New Roman" w:eastAsia="仿宋_GB2312"/>
          <w:sz w:val="30"/>
          <w:szCs w:val="32"/>
          <w:highlight w:val="none"/>
          <w:u w:val="single"/>
        </w:rPr>
        <w:t>施工现场需要配置的试验场所：满足工程施工的需要。</w:t>
      </w:r>
    </w:p>
    <w:p w14:paraId="03C8EBAF">
      <w:pPr>
        <w:pStyle w:val="51"/>
        <w:ind w:firstLine="600" w:firstLineChars="200"/>
        <w:jc w:val="both"/>
        <w:rPr>
          <w:rFonts w:hint="eastAsia" w:ascii="Times New Roman" w:hAnsi="Times New Roman" w:eastAsia="仿宋_GB2312"/>
          <w:sz w:val="30"/>
          <w:szCs w:val="32"/>
          <w:highlight w:val="none"/>
          <w:u w:val="single"/>
        </w:rPr>
      </w:pPr>
      <w:r>
        <w:rPr>
          <w:rFonts w:hint="eastAsia" w:ascii="Times New Roman" w:hAnsi="Times New Roman" w:eastAsia="仿宋_GB2312"/>
          <w:sz w:val="30"/>
          <w:szCs w:val="32"/>
          <w:highlight w:val="none"/>
          <w:u w:val="single"/>
        </w:rPr>
        <w:t>施工现场需要配备的试验设备：满足工程施工的需要。</w:t>
      </w:r>
    </w:p>
    <w:p w14:paraId="0A1CB2F6">
      <w:pPr>
        <w:pStyle w:val="51"/>
        <w:ind w:firstLine="600" w:firstLineChars="200"/>
        <w:jc w:val="both"/>
        <w:rPr>
          <w:rFonts w:hint="eastAsia" w:ascii="Times New Roman" w:hAnsi="Times New Roman" w:eastAsia="仿宋_GB2312"/>
          <w:sz w:val="30"/>
          <w:szCs w:val="32"/>
          <w:highlight w:val="none"/>
          <w:u w:val="single"/>
        </w:rPr>
      </w:pPr>
      <w:r>
        <w:rPr>
          <w:rFonts w:hint="eastAsia" w:ascii="Times New Roman" w:hAnsi="Times New Roman" w:eastAsia="仿宋_GB2312"/>
          <w:sz w:val="30"/>
          <w:szCs w:val="32"/>
          <w:highlight w:val="none"/>
          <w:u w:val="single"/>
        </w:rPr>
        <w:t>施工现场需要具备的其他试验条件：           。</w:t>
      </w:r>
    </w:p>
    <w:p w14:paraId="464703A1">
      <w:pPr>
        <w:pStyle w:val="51"/>
        <w:ind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 现场工艺试验</w:t>
      </w:r>
    </w:p>
    <w:p w14:paraId="1EC74152">
      <w:pPr>
        <w:pStyle w:val="51"/>
        <w:ind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本款补充9.4.1～9.4.5项：</w:t>
      </w:r>
    </w:p>
    <w:p w14:paraId="5219ED18">
      <w:pPr>
        <w:pStyle w:val="51"/>
        <w:ind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9.4.1一般检验试验：</w:t>
      </w:r>
    </w:p>
    <w:p w14:paraId="441644C3">
      <w:pPr>
        <w:pStyle w:val="51"/>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中。</w:t>
      </w:r>
    </w:p>
    <w:p w14:paraId="73BDE113">
      <w:pPr>
        <w:pStyle w:val="51"/>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9.4.2特殊检验试验：</w:t>
      </w:r>
    </w:p>
    <w:p w14:paraId="3BB4996E">
      <w:pPr>
        <w:pStyle w:val="51"/>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24FEF078">
      <w:pPr>
        <w:pStyle w:val="51"/>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发包人委托的第三方检测试验机构检测试验的试件所需的材料、取样、送检及相关配合工作由承包人负责完成并承担由此产生的所有相关费用。</w:t>
      </w:r>
    </w:p>
    <w:p w14:paraId="0633D9AE">
      <w:pPr>
        <w:pStyle w:val="51"/>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（2）施工措施的检测、试验：因施工措施需要而做的相关检测、试验由承包人负责实施，其费用由承包人承担。</w:t>
      </w:r>
    </w:p>
    <w:p w14:paraId="7458C540">
      <w:pPr>
        <w:pStyle w:val="51"/>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9.4.3专项检测：       。</w:t>
      </w:r>
    </w:p>
    <w:p w14:paraId="36DBFBE6">
      <w:pPr>
        <w:pStyle w:val="51"/>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9.4.4若因承包人取样、制样、送检及相关配合不及时而导致工程的工期和费用增加，影响的工期不予延长，增加费用由承包人承担。</w:t>
      </w:r>
    </w:p>
    <w:p w14:paraId="37E61556">
      <w:pPr>
        <w:pStyle w:val="51"/>
        <w:ind w:left="0" w:leftChars="0" w:firstLine="600" w:firstLineChars="200"/>
        <w:jc w:val="both"/>
        <w:rPr>
          <w:rFonts w:hint="eastAsia"/>
          <w:highlight w:val="none"/>
        </w:rPr>
      </w:pPr>
      <w:r>
        <w:rPr>
          <w:rFonts w:hint="eastAsia" w:ascii="Times New Roman" w:hAnsi="Times New Roman" w:eastAsia="仿宋_GB2312"/>
          <w:sz w:val="30"/>
          <w:szCs w:val="32"/>
          <w:highlight w:val="none"/>
          <w:u w:val="none"/>
        </w:rPr>
        <w:t>9.4.5检测试验不合格的项目，其缺陷处理和复测费用由承包人承担，工期不予延长。</w:t>
      </w:r>
    </w:p>
    <w:bookmarkEnd w:id="737"/>
    <w:bookmarkEnd w:id="738"/>
    <w:bookmarkEnd w:id="739"/>
    <w:bookmarkEnd w:id="740"/>
    <w:bookmarkEnd w:id="741"/>
    <w:bookmarkEnd w:id="742"/>
    <w:bookmarkEnd w:id="743"/>
    <w:bookmarkEnd w:id="744"/>
    <w:p w14:paraId="5FFF3ABB">
      <w:pPr>
        <w:pStyle w:val="7"/>
        <w:spacing w:before="120" w:after="120" w:line="360" w:lineRule="auto"/>
        <w:rPr>
          <w:rFonts w:ascii="Times New Roman" w:hAnsi="Times New Roman" w:eastAsia="黑体"/>
          <w:b w:val="0"/>
          <w:color w:val="000000"/>
          <w:sz w:val="32"/>
          <w:szCs w:val="32"/>
          <w:highlight w:val="none"/>
        </w:rPr>
      </w:pPr>
      <w:bookmarkStart w:id="746" w:name="_Toc351203642"/>
      <w:r>
        <w:rPr>
          <w:rFonts w:ascii="Times New Roman" w:hAnsi="Times New Roman" w:eastAsia="黑体"/>
          <w:b w:val="0"/>
          <w:color w:val="000000"/>
          <w:sz w:val="32"/>
          <w:szCs w:val="32"/>
          <w:highlight w:val="none"/>
        </w:rPr>
        <w:t>1</w:t>
      </w:r>
      <w:bookmarkEnd w:id="711"/>
      <w:bookmarkEnd w:id="712"/>
      <w:bookmarkEnd w:id="713"/>
      <w:bookmarkEnd w:id="714"/>
      <w:bookmarkEnd w:id="715"/>
      <w:bookmarkEnd w:id="716"/>
      <w:bookmarkEnd w:id="717"/>
      <w:bookmarkEnd w:id="718"/>
      <w:bookmarkEnd w:id="719"/>
      <w:bookmarkEnd w:id="720"/>
      <w:bookmarkEnd w:id="721"/>
      <w:bookmarkEnd w:id="722"/>
      <w:bookmarkStart w:id="747" w:name="_Toc296944532"/>
      <w:bookmarkStart w:id="748" w:name="_Toc292559903"/>
      <w:bookmarkStart w:id="749" w:name="_Toc300934989"/>
      <w:bookmarkStart w:id="750" w:name="_Toc292559398"/>
      <w:bookmarkStart w:id="751" w:name="_Toc296891021"/>
      <w:bookmarkStart w:id="752" w:name="_Toc297216199"/>
      <w:bookmarkStart w:id="753" w:name="_Toc297048379"/>
      <w:bookmarkStart w:id="754" w:name="_Toc296346694"/>
      <w:bookmarkStart w:id="755" w:name="_Toc304295566"/>
      <w:bookmarkStart w:id="756" w:name="_Toc303539146"/>
      <w:bookmarkStart w:id="757" w:name="_Toc297123540"/>
      <w:bookmarkStart w:id="758" w:name="_Toc296347192"/>
      <w:bookmarkStart w:id="759" w:name="_Toc296891233"/>
      <w:bookmarkStart w:id="760" w:name="_Toc296503193"/>
      <w:bookmarkStart w:id="761" w:name="_Toc297120493"/>
      <w:bookmarkStart w:id="762" w:name="_Toc312678025"/>
      <w:bookmarkStart w:id="763" w:name="_Toc312677499"/>
      <w:bookmarkStart w:id="764" w:name="_Toc267251433"/>
      <w:bookmarkStart w:id="765" w:name="_Toc267251439"/>
      <w:bookmarkStart w:id="766" w:name="_Toc267251437"/>
      <w:bookmarkStart w:id="767" w:name="_Toc267251435"/>
      <w:bookmarkStart w:id="768" w:name="_Toc267251441"/>
      <w:bookmarkStart w:id="769" w:name="_Toc267251440"/>
      <w:bookmarkStart w:id="770" w:name="_Toc267251442"/>
      <w:r>
        <w:rPr>
          <w:rFonts w:ascii="Times New Roman" w:hAnsi="Times New Roman" w:eastAsia="黑体"/>
          <w:b w:val="0"/>
          <w:color w:val="000000"/>
          <w:sz w:val="32"/>
          <w:szCs w:val="32"/>
          <w:highlight w:val="none"/>
        </w:rPr>
        <w:t>0. 变更</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bookmarkEnd w:id="762"/>
    <w:bookmarkEnd w:id="763"/>
    <w:p w14:paraId="0AD30C4B">
      <w:pPr>
        <w:pStyle w:val="7"/>
        <w:spacing w:before="120" w:after="120" w:line="360" w:lineRule="auto"/>
        <w:rPr>
          <w:rFonts w:hint="eastAsia" w:ascii="Times New Roman" w:hAnsi="Times New Roman" w:eastAsia="黑体"/>
          <w:b w:val="0"/>
          <w:color w:val="000000"/>
          <w:sz w:val="32"/>
          <w:szCs w:val="32"/>
          <w:highlight w:val="none"/>
        </w:rPr>
      </w:pPr>
      <w:bookmarkStart w:id="771" w:name="_Toc351203643"/>
      <w:r>
        <w:rPr>
          <w:rFonts w:hint="eastAsia" w:ascii="Times New Roman" w:hAnsi="Times New Roman" w:eastAsia="黑体"/>
          <w:b w:val="0"/>
          <w:color w:val="000000"/>
          <w:sz w:val="32"/>
          <w:szCs w:val="32"/>
          <w:highlight w:val="none"/>
        </w:rPr>
        <w:t>10.1</w:t>
      </w:r>
      <w:r>
        <w:rPr>
          <w:rFonts w:hint="eastAsia" w:ascii="Times New Roman" w:hAnsi="Times New Roman" w:eastAsia="仿宋_GB2312" w:cs="Times New Roman"/>
          <w:b w:val="0"/>
          <w:bCs w:val="0"/>
          <w:kern w:val="0"/>
          <w:sz w:val="30"/>
          <w:szCs w:val="32"/>
          <w:highlight w:val="none"/>
          <w:u w:val="none"/>
          <w:lang w:val="en-US" w:eastAsia="zh-CN" w:bidi="ar-SA"/>
        </w:rPr>
        <w:t>变更的范围</w:t>
      </w:r>
    </w:p>
    <w:p w14:paraId="37287B0C">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关于变更范围的约定：</w:t>
      </w:r>
    </w:p>
    <w:p w14:paraId="2F6F763D">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（1）增加或减少合同中任何工作，或追加额外的工作；</w:t>
      </w:r>
    </w:p>
    <w:p w14:paraId="1AB4A1B5">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（2）取消合同中任何工作；</w:t>
      </w:r>
    </w:p>
    <w:p w14:paraId="0D7A00FD">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（3）改变合同中任何工作的质量标准或其他特性；</w:t>
      </w:r>
    </w:p>
    <w:p w14:paraId="3ADE8CA5">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（4）改变工程的基线、标高、位置和尺寸；</w:t>
      </w:r>
    </w:p>
    <w:p w14:paraId="3BB0EFE0">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（5）适用于工程的标准和（或）规范变化导致需要对工程进行改变，且该改变导致工期和（或）费用变化的。</w:t>
      </w:r>
    </w:p>
    <w:p w14:paraId="18156573">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（6）勘察设计变更。</w:t>
      </w:r>
    </w:p>
    <w:p w14:paraId="41650F31">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（7）实施内容变更，包括因设计变更和非设计变更引起的实施地点、投资规模、结构型式、采购数量、服务内容等进行的调整，以及因此导致的合同价格、工期变更。</w:t>
      </w:r>
    </w:p>
    <w:p w14:paraId="26A27CE0">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（8）项目管理人员变更。</w:t>
      </w:r>
    </w:p>
    <w:p w14:paraId="7A4AB62B">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（9）因人工、原材料等价格变化导致的合同总价变更。</w:t>
      </w:r>
    </w:p>
    <w:p w14:paraId="748E17D9">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（10）非实施内容变化导致的工期变更</w:t>
      </w:r>
    </w:p>
    <w:p w14:paraId="49DDC743">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（11）    \    。</w:t>
      </w:r>
    </w:p>
    <w:p w14:paraId="6B5AB6DE">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在重庆市信用信息共享平台进行信息公开。项目合同变更未获得通过的，发包人和承包人均不得擅自变更原合同约定事项，且不得就同一理由同一事项再提出变更。</w:t>
      </w:r>
    </w:p>
    <w:p w14:paraId="1A1A4755">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承包人对其提供的材料、工程设备、施工、无负荷试车、热负荷试车及图纸参数存在的缺陷，自费修正、调整和完善，不属于变更。</w:t>
      </w:r>
    </w:p>
    <w:p w14:paraId="4F168628">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10.2变更权</w:t>
      </w:r>
    </w:p>
    <w:p w14:paraId="7BA8F389">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10.2.1发包人和监理人提出变更</w:t>
      </w:r>
    </w:p>
    <w:p w14:paraId="59DAC19C">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9A040C1">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涉及设计变更的，应由设计人提供变更后的图纸和说明，交由发包人同意后由监理人以书面形式发出。如变更超过原设计标准或批准的建设规模时，由发包人及时办理规划、设计变更等审批手续。</w:t>
      </w:r>
    </w:p>
    <w:p w14:paraId="63C8AAF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若出现重大设计变更，变更后的内容超出承包人资质或能力范围的，发包人将另行依法招标选择承包单位，无需征得承包人同意。</w:t>
      </w:r>
    </w:p>
    <w:p w14:paraId="37B58EC5">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10.2.2 承包人提出变更建议</w:t>
      </w:r>
    </w:p>
    <w:p w14:paraId="6BEFA9D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048EDD2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如果发包人对承包人已实施的施工项目在发出重大设计变更之前要求承包人提出一份建议，那么，承包人应尽快提出：</w:t>
      </w:r>
    </w:p>
    <w:p w14:paraId="6394EE24">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（1）对所提方案和（或）待做工作及其实施计划的说明；</w:t>
      </w:r>
    </w:p>
    <w:p w14:paraId="7A8C1A60">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（2）承包人按照对工程进度计划进行必要修改的建议；</w:t>
      </w:r>
    </w:p>
    <w:p w14:paraId="67DEBE3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（3）承包人发生较大返工损失增加费用的建议。</w:t>
      </w:r>
    </w:p>
    <w:p w14:paraId="5B91A4EA">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发包人在收到上述建议书后，应尽快给予批准、否决或提出意见。</w:t>
      </w:r>
    </w:p>
    <w:p w14:paraId="5F80B5C2">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10.3变更程序</w:t>
      </w:r>
    </w:p>
    <w:p w14:paraId="2A50E2F0">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10.3.3 变更执行</w:t>
      </w:r>
    </w:p>
    <w:p w14:paraId="72E726FA">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一般设计变更：承包人收到监理人下达的变更指示后，应按照监理人下达的变更指示执行，并书面说明实施该变更指示对合同价格和工期的影响，按照第10.4.1项〔变更估价原则〕约定执行。</w:t>
      </w:r>
    </w:p>
    <w:p w14:paraId="4044F940">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重大设计变更：需经设计人、监理人和发包人三方签字认可并报相关行业部门审查同意后实施。</w:t>
      </w:r>
    </w:p>
    <w:p w14:paraId="11DCA803">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10.3.3 项增加以下内容：</w:t>
      </w:r>
    </w:p>
    <w:p w14:paraId="5CD16B2C">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3ABA84A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项目的勘察设计、实施内容等作较大变更的，应当按照规定的程序报原审批部门审批；变更导致总投资超概的，应当报原投资概算核定部门核定。</w:t>
      </w:r>
    </w:p>
    <w:p w14:paraId="5D5EFE5A">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项目管理人员变更的，应当经发包人领导班子集体决策同意，并将变更信息推送给行业主管部门。变更后的项目管理人员应当符合比选文件和行业主管部门的相关规定。</w:t>
      </w:r>
    </w:p>
    <w:p w14:paraId="09FF25DE">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因人工、原材料市场价格发生大幅度变化导致的合同总价变更，由发包人与承包人按照合同进行变更，并将变更信息推送给行业主管部门。</w:t>
      </w:r>
    </w:p>
    <w:p w14:paraId="4BE5FD11">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项目实施内容无变更，因不可抗力导致的工期变更，由发包人领导班子集体决策同意，并将变更信息推送给行业主管部门；因项目实施内容变更导致的工期变更，与项目实施内容变更一并办理。</w:t>
      </w:r>
    </w:p>
    <w:p w14:paraId="5B7F1DD9">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项目合同变更后，增加的实施内容达到依法必须招标的规模标准的，增加的部分应当依法通过招标选择承包单位。</w:t>
      </w:r>
    </w:p>
    <w:p w14:paraId="1C69E5EB">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 变更估价</w:t>
      </w:r>
    </w:p>
    <w:p w14:paraId="4624E9E4">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 变更估价原则</w:t>
      </w:r>
    </w:p>
    <w:p w14:paraId="3344F205">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当发生工程变更时，工程量按 本施工合同  规定的计算规则及已标价工程量清单规定的工程量计算规则计量，按以下办法计价：</w:t>
      </w:r>
    </w:p>
    <w:p w14:paraId="1DFF86AA">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10.4.1.1已标价工程量清单中有相同项目的，按照相同项目单价计算；</w:t>
      </w:r>
    </w:p>
    <w:p w14:paraId="4D4C4D7F">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10.4.1.2已标价工程量清单中有类似项目的，参考类似项目单价计算；</w:t>
      </w:r>
    </w:p>
    <w:p w14:paraId="3D1601B5">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10.4.1.3已标价工程量清单中无相同项目亦无类似项目的，按照以下原则执行：</w:t>
      </w:r>
    </w:p>
    <w:p w14:paraId="0E6C05FF">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按《建设工程工程量清单计价规范》（GB50500-2013）、《重庆市建设工程工程量清单计价规则》（CQJJGZ-2013）、《重庆市建设工程工程量计算规则》（CQJLGZ-2013）；《重庆市房屋建筑与装饰工程计价定额》（2018）、《重庆市市政工程计价定额》</w:t>
      </w:r>
      <w:r>
        <w:rPr>
          <w:rFonts w:hint="eastAsia" w:ascii="Times New Roman" w:hAnsi="Times New Roman" w:eastAsia="仿宋_GB2312" w:cs="Times New Roman"/>
          <w:sz w:val="30"/>
          <w:szCs w:val="32"/>
          <w:highlight w:val="none"/>
          <w:u w:val="none"/>
          <w:lang w:eastAsia="zh-CN"/>
        </w:rPr>
        <w:t>（</w:t>
      </w:r>
      <w:r>
        <w:rPr>
          <w:rFonts w:hint="eastAsia" w:ascii="Times New Roman" w:hAnsi="Times New Roman" w:eastAsia="仿宋_GB2312" w:cs="Times New Roman"/>
          <w:sz w:val="30"/>
          <w:szCs w:val="32"/>
          <w:highlight w:val="none"/>
          <w:u w:val="none"/>
          <w:lang w:val="en-US" w:eastAsia="zh-CN"/>
        </w:rPr>
        <w:t>2018</w:t>
      </w:r>
      <w:r>
        <w:rPr>
          <w:rFonts w:hint="eastAsia" w:ascii="Times New Roman" w:hAnsi="Times New Roman" w:eastAsia="仿宋_GB2312" w:cs="Times New Roman"/>
          <w:sz w:val="30"/>
          <w:szCs w:val="32"/>
          <w:highlight w:val="none"/>
          <w:u w:val="none"/>
          <w:lang w:eastAsia="zh-CN"/>
        </w:rPr>
        <w:t>）、</w:t>
      </w:r>
      <w:r>
        <w:rPr>
          <w:rFonts w:hint="eastAsia" w:ascii="Times New Roman" w:hAnsi="Times New Roman" w:eastAsia="仿宋_GB2312" w:cs="Times New Roman"/>
          <w:sz w:val="30"/>
          <w:szCs w:val="32"/>
          <w:highlight w:val="none"/>
          <w:u w:val="none"/>
        </w:rPr>
        <w:t>《重庆市通用安装工程计价定额》（2018）、《重庆市房屋修缮工程计价定额》（2018）、《重庆市绿色建筑工程计价定额》（2018）、《重庆市建设工程费用定额》（2018）及《关于建筑业营业税改征增值税调整建设工程计价依据的通知》（渝建发【2016】35号）文件等其他相关配套文件；及相关配套文件进行组价并按承包人报价浮动率下浮（认质核价的设备和材料不参与浮动），经监理人、跟审单位、发包人审定后执行。</w:t>
      </w:r>
    </w:p>
    <w:p w14:paraId="0C21BEE3">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承包人报价浮动率按下列公式计算：承包人报价浮动率=（1-中标价/最高限价）×100%。</w:t>
      </w:r>
    </w:p>
    <w:p w14:paraId="64F0D484">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（1）人工单价：</w:t>
      </w:r>
      <w:r>
        <w:rPr>
          <w:rFonts w:hint="eastAsia" w:ascii="Times New Roman" w:hAnsi="Times New Roman" w:eastAsia="仿宋_GB2312" w:cs="Times New Roman"/>
          <w:color w:val="auto"/>
          <w:sz w:val="30"/>
          <w:szCs w:val="32"/>
          <w:highlight w:val="none"/>
          <w:u w:val="none"/>
        </w:rPr>
        <w:t>按开标当期《重庆工程造价信息》发布的项目所在地的人工单价执行；</w:t>
      </w:r>
    </w:p>
    <w:p w14:paraId="3E6DBB30">
      <w:pPr>
        <w:pStyle w:val="51"/>
        <w:ind w:left="0" w:leftChars="0" w:firstLine="600" w:firstLineChars="200"/>
        <w:jc w:val="both"/>
        <w:rPr>
          <w:rFonts w:hint="eastAsia" w:ascii="Times New Roman" w:hAnsi="Times New Roman" w:eastAsia="仿宋_GB2312" w:cs="Times New Roman"/>
          <w:color w:val="FF0000"/>
          <w:kern w:val="0"/>
          <w:sz w:val="30"/>
          <w:szCs w:val="32"/>
          <w:highlight w:val="none"/>
          <w:u w:val="none"/>
          <w:lang w:val="en-US" w:eastAsia="zh-CN" w:bidi="ar-SA"/>
        </w:rPr>
      </w:pPr>
      <w:r>
        <w:rPr>
          <w:rFonts w:hint="eastAsia" w:ascii="Times New Roman" w:hAnsi="Times New Roman" w:eastAsia="仿宋_GB2312" w:cs="Times New Roman"/>
          <w:sz w:val="30"/>
          <w:szCs w:val="32"/>
          <w:highlight w:val="none"/>
          <w:u w:val="none"/>
        </w:rPr>
        <w:t>（2）材料单价：</w:t>
      </w:r>
      <w:r>
        <w:rPr>
          <w:rFonts w:hint="eastAsia" w:ascii="Times New Roman" w:hAnsi="Times New Roman" w:eastAsia="仿宋_GB2312" w:cs="Times New Roman"/>
          <w:color w:val="auto"/>
          <w:sz w:val="30"/>
          <w:szCs w:val="32"/>
          <w:highlight w:val="none"/>
          <w:u w:val="none"/>
          <w:lang w:val="en-US" w:eastAsia="zh-CN"/>
        </w:rPr>
        <w:t>按</w:t>
      </w:r>
      <w:bookmarkStart w:id="772" w:name="_Hlk529023354"/>
      <w:r>
        <w:rPr>
          <w:rFonts w:hint="eastAsia" w:ascii="Times New Roman" w:hAnsi="Times New Roman" w:eastAsia="仿宋_GB2312" w:cs="Times New Roman"/>
          <w:color w:val="auto"/>
          <w:sz w:val="30"/>
          <w:szCs w:val="32"/>
          <w:highlight w:val="none"/>
          <w:u w:val="none"/>
          <w:lang w:val="en-US" w:eastAsia="zh-CN"/>
        </w:rPr>
        <w:t>开标当期《重庆工程造价信息》发布的项目所在地的信息价</w:t>
      </w:r>
      <w:bookmarkEnd w:id="772"/>
      <w:r>
        <w:rPr>
          <w:rFonts w:hint="eastAsia" w:ascii="Times New Roman" w:hAnsi="Times New Roman" w:eastAsia="仿宋_GB2312" w:cs="Times New Roman"/>
          <w:color w:val="auto"/>
          <w:sz w:val="30"/>
          <w:szCs w:val="32"/>
          <w:highlight w:val="none"/>
          <w:u w:val="none"/>
          <w:lang w:val="en-US" w:eastAsia="zh-CN"/>
        </w:rPr>
        <w:t>执行；开标当期《重庆工程造价信息》和承包人投标报价没有的，由承包人申报，监理人会同跟审单位、发包人根据市场行情认质核价确定。</w:t>
      </w:r>
    </w:p>
    <w:p w14:paraId="60FF989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1640E2F5">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（4）规费：按《重庆市建设工程费用定额》（CQFYDE-2018）费用标准进行计算。</w:t>
      </w:r>
    </w:p>
    <w:p w14:paraId="64C05D28">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5）税金：包含增值税、城市维护建设税、教育费附加、地方教育附加以及环境保护税。其中增值税按重庆市城乡建设委员会《关于适用增值税新税率调整建设工程计价依据的通知》（渝建发〔2019〕143号）规定及配套文件执行。</w:t>
      </w:r>
    </w:p>
    <w:p w14:paraId="2F7E7E7E">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跟审单位、发包人共同询价确认的价格执行。</w:t>
      </w:r>
    </w:p>
    <w:p w14:paraId="6A23583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本款补充10.4.3项：</w:t>
      </w:r>
    </w:p>
    <w:p w14:paraId="2AA28FF1">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326D4F79">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（1）安全文明施工费应按照实际发生变化的措施项目依据现行安全文明施工费计取及管理政策规定及《重庆市建设工程费用定额》（CQFYDE-2018）规定执行；</w:t>
      </w:r>
    </w:p>
    <w:p w14:paraId="497D149C">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（2）按照单价计算的措施项目费，应按照实际发生变化的措施项目，按照第10.4.1项〔变更估价原则〕约定执行；</w:t>
      </w:r>
    </w:p>
    <w:p w14:paraId="4772C4E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（3）按总价（或系数）计算的措施项目费，应按照实际发生变化的措施项目费按承包人报价浮动率下浮后的金额计算；</w:t>
      </w:r>
    </w:p>
    <w:p w14:paraId="2250326E">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（4）如果承包人未事前将拟实施的方案提交给发包人确认，则应视为工程变更不引起措施项目费的调整或承包人放弃调整措施项目费的权利。</w:t>
      </w:r>
    </w:p>
    <w:p w14:paraId="783B86F8">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10.5承包人的合理化建议</w:t>
      </w:r>
    </w:p>
    <w:p w14:paraId="35108B07">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承包人提出合理化建议的，应向监理人提交合理化建议说明，说明建议的内容和理由，以及实施该建议对合同价格和（或）工期和（或）工程经济效益的影响。</w:t>
      </w:r>
    </w:p>
    <w:p w14:paraId="221FB0B6">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监理人审查承包人合理化建议的期限：不超过14天。</w:t>
      </w:r>
    </w:p>
    <w:p w14:paraId="2059D0ED">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发包人审批承包人合理化建议的期限：不超过14天。</w:t>
      </w:r>
    </w:p>
    <w:p w14:paraId="1F433C12">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承包人提出的合理化建议降低了合同价格或缩短了工期或者提高了工程经济效益的奖励的方法和金额为：  /   。</w:t>
      </w:r>
    </w:p>
    <w:p w14:paraId="54F3CAD0">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10.7 暂估价</w:t>
      </w:r>
    </w:p>
    <w:p w14:paraId="676FC90B">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专业工程暂估价：        万元。</w:t>
      </w:r>
    </w:p>
    <w:p w14:paraId="7102313D">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4714595C">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单项合同暂估价在国家相关法律法规规定必须招标规模以上的，需依法必须招标的，由承包人、发包人共同招标确定。</w:t>
      </w:r>
    </w:p>
    <w:p w14:paraId="4ADF85A7">
      <w:pPr>
        <w:pStyle w:val="51"/>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10.8 暂列金额</w:t>
      </w:r>
    </w:p>
    <w:p w14:paraId="24FFEB62">
      <w:pPr>
        <w:pStyle w:val="51"/>
        <w:ind w:left="0" w:leftChars="0" w:firstLine="600" w:firstLineChars="200"/>
        <w:jc w:val="both"/>
        <w:rPr>
          <w:rFonts w:ascii="Times New Roman" w:hAnsi="Times New Roman" w:eastAsia="黑体"/>
          <w:b/>
          <w:color w:val="000000"/>
          <w:sz w:val="32"/>
          <w:szCs w:val="32"/>
          <w:highlight w:val="none"/>
        </w:rPr>
      </w:pPr>
      <w:r>
        <w:rPr>
          <w:rFonts w:hint="eastAsia" w:ascii="Times New Roman" w:hAnsi="Times New Roman" w:eastAsia="仿宋_GB2312" w:cs="Times New Roman"/>
          <w:sz w:val="30"/>
          <w:szCs w:val="32"/>
          <w:highlight w:val="none"/>
          <w:u w:val="none"/>
        </w:rPr>
        <w:t>合同当事人关于暂列金额使用的约定：   按相关规定执行  。</w:t>
      </w:r>
      <w:r>
        <w:rPr>
          <w:rFonts w:ascii="Times New Roman" w:hAnsi="Times New Roman" w:eastAsia="黑体"/>
          <w:b/>
          <w:color w:val="000000"/>
          <w:sz w:val="32"/>
          <w:szCs w:val="32"/>
          <w:highlight w:val="none"/>
        </w:rPr>
        <w:t>11. 价格调整</w:t>
      </w:r>
      <w:bookmarkEnd w:id="771"/>
    </w:p>
    <w:p w14:paraId="00B5C2EE">
      <w:pPr>
        <w:spacing w:after="120" w:line="360" w:lineRule="auto"/>
        <w:ind w:firstLine="600" w:firstLineChars="200"/>
        <w:rPr>
          <w:rFonts w:ascii="Times New Roman" w:hAnsi="Times New Roman" w:eastAsia="黑体"/>
          <w:color w:val="000000"/>
          <w:sz w:val="30"/>
          <w:szCs w:val="32"/>
          <w:highlight w:val="none"/>
        </w:rPr>
      </w:pPr>
      <w:bookmarkStart w:id="773" w:name="_Toc297120501"/>
      <w:bookmarkStart w:id="774" w:name="_Toc296346702"/>
      <w:bookmarkStart w:id="775" w:name="_Toc292559406"/>
      <w:bookmarkStart w:id="776" w:name="_Toc296347200"/>
      <w:bookmarkStart w:id="777" w:name="_Toc303539157"/>
      <w:bookmarkStart w:id="778" w:name="_Toc297048387"/>
      <w:bookmarkStart w:id="779" w:name="_Toc297216209"/>
      <w:bookmarkStart w:id="780" w:name="_Toc296891029"/>
      <w:bookmarkStart w:id="781" w:name="_Toc300935000"/>
      <w:bookmarkStart w:id="782" w:name="_Toc296944540"/>
      <w:bookmarkStart w:id="783" w:name="_Toc304295577"/>
      <w:bookmarkStart w:id="784" w:name="_Toc296503201"/>
      <w:bookmarkStart w:id="785" w:name="_Toc292559911"/>
      <w:bookmarkStart w:id="786" w:name="_Toc312678039"/>
      <w:bookmarkStart w:id="787" w:name="_Toc297123550"/>
      <w:bookmarkStart w:id="788" w:name="_Toc296891241"/>
      <w:r>
        <w:rPr>
          <w:rFonts w:ascii="Times New Roman" w:hAnsi="Times New Roman" w:eastAsia="黑体"/>
          <w:color w:val="000000"/>
          <w:sz w:val="30"/>
          <w:szCs w:val="32"/>
          <w:highlight w:val="none"/>
        </w:rPr>
        <w:t>11.1 市场价格波动引起的调整</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2D636465">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color w:val="000000"/>
          <w:kern w:val="0"/>
          <w:sz w:val="30"/>
          <w:szCs w:val="32"/>
          <w:highlight w:val="none"/>
        </w:rPr>
        <w:t>市场价格波动是否调整合同价格的约定：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不调整</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2596C9C5">
      <w:pPr>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11.2 法律变化引起的调整</w:t>
      </w:r>
    </w:p>
    <w:p w14:paraId="4D561CFD">
      <w:pPr>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087A1F16">
      <w:pP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本条补充11.3款</w:t>
      </w:r>
    </w:p>
    <w:p w14:paraId="6E740B11">
      <w:pPr>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11.3 严重不平衡报价引起的调整</w:t>
      </w:r>
    </w:p>
    <w:p w14:paraId="065FFEC8">
      <w:pPr>
        <w:ind w:firstLine="600" w:firstLineChars="200"/>
        <w:rPr>
          <w:rFonts w:hint="eastAsia" w:ascii="方正仿宋_GBK" w:hAnsi="方正仿宋_GBK" w:eastAsia="方正仿宋_GBK" w:cs="方正仿宋_GBK"/>
          <w:sz w:val="30"/>
          <w:szCs w:val="30"/>
          <w:highlight w:val="none"/>
          <w:u w:val="single"/>
        </w:rPr>
      </w:pPr>
      <w:r>
        <w:rPr>
          <w:rFonts w:hint="eastAsia" w:ascii="方正仿宋_GBK" w:hAnsi="方正仿宋_GBK" w:eastAsia="方正仿宋_GBK" w:cs="方正仿宋_GBK"/>
          <w:sz w:val="30"/>
          <w:szCs w:val="30"/>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p>
    <w:p w14:paraId="68E22FFC">
      <w:pPr>
        <w:ind w:firstLine="600" w:firstLineChars="200"/>
        <w:rPr>
          <w:rFonts w:ascii="Times New Roman" w:hAnsi="Times New Roman" w:eastAsia="黑体"/>
          <w:b w:val="0"/>
          <w:color w:val="000000"/>
          <w:sz w:val="32"/>
          <w:szCs w:val="32"/>
          <w:highlight w:val="none"/>
        </w:rPr>
      </w:pPr>
      <w:r>
        <w:rPr>
          <w:rFonts w:hint="eastAsia" w:ascii="方正仿宋_GBK" w:hAnsi="方正仿宋_GBK" w:eastAsia="方正仿宋_GBK" w:cs="方正仿宋_GBK"/>
          <w:sz w:val="30"/>
          <w:szCs w:val="30"/>
          <w:highlight w:val="none"/>
        </w:rPr>
        <w:t>严重不平衡报价是指：</w:t>
      </w:r>
      <w:r>
        <w:rPr>
          <w:rFonts w:hint="eastAsia" w:ascii="方正仿宋_GBK" w:hAnsi="方正仿宋_GBK" w:eastAsia="方正仿宋_GBK" w:cs="方正仿宋_GBK"/>
          <w:sz w:val="30"/>
          <w:szCs w:val="30"/>
          <w:highlight w:val="none"/>
          <w:u w:val="single"/>
        </w:rPr>
        <w:t>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bookmarkEnd w:id="764"/>
      <w:bookmarkEnd w:id="765"/>
      <w:bookmarkEnd w:id="766"/>
      <w:bookmarkEnd w:id="767"/>
      <w:bookmarkEnd w:id="768"/>
      <w:bookmarkEnd w:id="769"/>
      <w:bookmarkStart w:id="789" w:name="_Toc296891033"/>
      <w:bookmarkStart w:id="790" w:name="_Toc296891245"/>
      <w:bookmarkStart w:id="791" w:name="_Toc296503205"/>
      <w:bookmarkStart w:id="792" w:name="_Toc292559410"/>
      <w:bookmarkStart w:id="793" w:name="_Toc296346706"/>
      <w:bookmarkStart w:id="794" w:name="_Toc297048391"/>
      <w:bookmarkStart w:id="795" w:name="_Toc296944544"/>
      <w:bookmarkStart w:id="796" w:name="_Toc296347204"/>
      <w:bookmarkStart w:id="797" w:name="_Toc292559915"/>
      <w:bookmarkStart w:id="798" w:name="_Toc297120505"/>
      <w:bookmarkStart w:id="799" w:name="_Toc351203644"/>
      <w:bookmarkStart w:id="800" w:name="_Toc300935002"/>
      <w:bookmarkStart w:id="801" w:name="_Toc304295579"/>
      <w:bookmarkStart w:id="802" w:name="_Toc297123552"/>
      <w:bookmarkStart w:id="803" w:name="_Toc303539159"/>
      <w:bookmarkStart w:id="804" w:name="_Toc297216211"/>
      <w:bookmarkStart w:id="805" w:name="_Toc312678040"/>
    </w:p>
    <w:p w14:paraId="49B64798">
      <w:pPr>
        <w:pStyle w:val="7"/>
        <w:spacing w:before="120" w:after="120" w:line="360" w:lineRule="auto"/>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 xml:space="preserve">12. </w:t>
      </w:r>
      <w:bookmarkEnd w:id="789"/>
      <w:bookmarkEnd w:id="790"/>
      <w:bookmarkEnd w:id="791"/>
      <w:bookmarkEnd w:id="792"/>
      <w:bookmarkEnd w:id="793"/>
      <w:bookmarkEnd w:id="794"/>
      <w:bookmarkEnd w:id="795"/>
      <w:bookmarkEnd w:id="796"/>
      <w:bookmarkEnd w:id="797"/>
      <w:bookmarkEnd w:id="798"/>
      <w:r>
        <w:rPr>
          <w:rFonts w:ascii="Times New Roman" w:hAnsi="Times New Roman" w:eastAsia="黑体"/>
          <w:b w:val="0"/>
          <w:color w:val="000000"/>
          <w:sz w:val="32"/>
          <w:szCs w:val="32"/>
          <w:highlight w:val="none"/>
        </w:rPr>
        <w:t>合同价格、计量与支付</w:t>
      </w:r>
      <w:bookmarkEnd w:id="799"/>
    </w:p>
    <w:bookmarkEnd w:id="800"/>
    <w:bookmarkEnd w:id="801"/>
    <w:bookmarkEnd w:id="802"/>
    <w:bookmarkEnd w:id="803"/>
    <w:bookmarkEnd w:id="804"/>
    <w:bookmarkEnd w:id="805"/>
    <w:p w14:paraId="50A176D2">
      <w:pPr>
        <w:spacing w:after="120" w:line="360" w:lineRule="auto"/>
        <w:ind w:firstLine="600" w:firstLineChars="200"/>
        <w:rPr>
          <w:rFonts w:ascii="Times New Roman" w:hAnsi="Times New Roman" w:eastAsia="黑体"/>
          <w:color w:val="000000"/>
          <w:sz w:val="30"/>
          <w:szCs w:val="32"/>
          <w:highlight w:val="none"/>
        </w:rPr>
      </w:pPr>
      <w:bookmarkStart w:id="806" w:name="_Toc292559916"/>
      <w:bookmarkStart w:id="807" w:name="_Toc267251461"/>
      <w:bookmarkStart w:id="808" w:name="_Toc292559411"/>
      <w:bookmarkStart w:id="809" w:name="_Toc296891246"/>
      <w:bookmarkStart w:id="810" w:name="_Toc296891034"/>
      <w:bookmarkStart w:id="811" w:name="_Toc296503206"/>
      <w:bookmarkStart w:id="812" w:name="_Toc296347205"/>
      <w:bookmarkStart w:id="813" w:name="_Toc296346707"/>
      <w:bookmarkStart w:id="814" w:name="_Toc297048392"/>
      <w:bookmarkStart w:id="815" w:name="_Toc297120506"/>
      <w:bookmarkStart w:id="816" w:name="_Toc296944545"/>
      <w:bookmarkStart w:id="817" w:name="_Toc297216212"/>
      <w:bookmarkStart w:id="818" w:name="_Toc303539160"/>
      <w:bookmarkStart w:id="819" w:name="_Toc297123553"/>
      <w:bookmarkStart w:id="820" w:name="_Toc300935003"/>
      <w:bookmarkStart w:id="821" w:name="_Toc312678041"/>
      <w:bookmarkStart w:id="822" w:name="_Toc304295580"/>
      <w:r>
        <w:rPr>
          <w:rFonts w:ascii="Times New Roman" w:hAnsi="Times New Roman" w:eastAsia="黑体"/>
          <w:color w:val="000000"/>
          <w:sz w:val="30"/>
          <w:szCs w:val="32"/>
          <w:highlight w:val="none"/>
        </w:rPr>
        <w:t>12.1 合</w:t>
      </w:r>
      <w:bookmarkEnd w:id="806"/>
      <w:bookmarkEnd w:id="807"/>
      <w:bookmarkEnd w:id="808"/>
      <w:r>
        <w:rPr>
          <w:rFonts w:ascii="Times New Roman" w:hAnsi="Times New Roman" w:eastAsia="黑体"/>
          <w:color w:val="000000"/>
          <w:sz w:val="30"/>
          <w:szCs w:val="32"/>
          <w:highlight w:val="none"/>
        </w:rPr>
        <w:t>同价</w:t>
      </w:r>
      <w:bookmarkEnd w:id="809"/>
      <w:bookmarkEnd w:id="810"/>
      <w:bookmarkEnd w:id="811"/>
      <w:bookmarkEnd w:id="812"/>
      <w:bookmarkEnd w:id="813"/>
      <w:bookmarkEnd w:id="814"/>
      <w:bookmarkEnd w:id="815"/>
      <w:bookmarkEnd w:id="816"/>
      <w:r>
        <w:rPr>
          <w:rFonts w:ascii="Times New Roman" w:hAnsi="Times New Roman" w:eastAsia="黑体"/>
          <w:color w:val="000000"/>
          <w:sz w:val="30"/>
          <w:szCs w:val="32"/>
          <w:highlight w:val="none"/>
        </w:rPr>
        <w:t>格形式</w:t>
      </w:r>
    </w:p>
    <w:bookmarkEnd w:id="817"/>
    <w:bookmarkEnd w:id="818"/>
    <w:bookmarkEnd w:id="819"/>
    <w:bookmarkEnd w:id="820"/>
    <w:bookmarkEnd w:id="821"/>
    <w:bookmarkEnd w:id="822"/>
    <w:p w14:paraId="6BC4F5F2">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1、单价合同。</w:t>
      </w:r>
    </w:p>
    <w:p w14:paraId="0E5881C6">
      <w:pPr>
        <w:spacing w:line="360" w:lineRule="auto"/>
        <w:ind w:firstLine="600" w:firstLineChars="200"/>
        <w:jc w:val="left"/>
        <w:rPr>
          <w:rFonts w:hint="eastAsia" w:ascii="Times New Roman" w:hAnsi="Times New Roman" w:eastAsia="仿宋_GB2312" w:cs="Times New Roman"/>
          <w:color w:val="000000"/>
          <w:sz w:val="30"/>
          <w:szCs w:val="32"/>
          <w:highlight w:val="none"/>
          <w:lang w:eastAsia="zh-CN"/>
        </w:rPr>
      </w:pPr>
      <w:r>
        <w:rPr>
          <w:rFonts w:hint="eastAsia" w:ascii="Times New Roman" w:hAnsi="Times New Roman" w:eastAsia="仿宋_GB2312" w:cs="Times New Roman"/>
          <w:color w:val="000000"/>
          <w:sz w:val="30"/>
          <w:szCs w:val="32"/>
          <w:highlight w:val="none"/>
          <w:lang w:eastAsia="zh-CN"/>
        </w:rPr>
        <w:t>综合单价包含的风险范围：</w:t>
      </w:r>
      <w:r>
        <w:rPr>
          <w:rFonts w:hint="eastAsia" w:ascii="Times New Roman" w:hAnsi="Times New Roman" w:eastAsia="仿宋_GB2312" w:cs="Times New Roman"/>
          <w:color w:val="000000"/>
          <w:sz w:val="30"/>
          <w:szCs w:val="32"/>
          <w:highlight w:val="none"/>
          <w:u w:val="single"/>
          <w:lang w:eastAsia="zh-CN"/>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比选文件和合同明示或暗示的应由承包人承担的所有责任、义务和风险等所需的费用。</w:t>
      </w:r>
    </w:p>
    <w:p w14:paraId="0924D568">
      <w:pPr>
        <w:pStyle w:val="51"/>
        <w:rPr>
          <w:rFonts w:hint="eastAsia"/>
          <w:highlight w:val="none"/>
          <w:lang w:eastAsia="zh-CN"/>
        </w:rPr>
      </w:pPr>
    </w:p>
    <w:p w14:paraId="7188E762">
      <w:pPr>
        <w:spacing w:line="360" w:lineRule="auto"/>
        <w:ind w:firstLine="600" w:firstLineChars="200"/>
        <w:jc w:val="left"/>
        <w:rPr>
          <w:rFonts w:hint="eastAsia" w:ascii="Times New Roman" w:hAnsi="Times New Roman" w:eastAsia="仿宋_GB2312"/>
          <w:color w:val="000000"/>
          <w:sz w:val="30"/>
          <w:szCs w:val="32"/>
          <w:highlight w:val="none"/>
          <w:u w:val="single"/>
          <w:lang w:eastAsia="zh-CN"/>
        </w:rPr>
      </w:pPr>
      <w:r>
        <w:rPr>
          <w:rFonts w:ascii="Times New Roman" w:hAnsi="Times New Roman" w:eastAsia="仿宋_GB2312"/>
          <w:color w:val="000000"/>
          <w:sz w:val="30"/>
          <w:szCs w:val="32"/>
          <w:highlight w:val="none"/>
        </w:rPr>
        <w:t>风险费用的计算方法：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投标人在投标报价时已经考虑，不再另行计取</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eastAsia="zh-CN"/>
        </w:rPr>
        <w:t>。</w:t>
      </w:r>
    </w:p>
    <w:p w14:paraId="1F84C5E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风险范围以外合同价格的调整方法：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 xml:space="preserve">       </w:t>
      </w:r>
    </w:p>
    <w:p w14:paraId="1846C158">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2、总价合同。</w:t>
      </w:r>
    </w:p>
    <w:p w14:paraId="3920DF70">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总价包含的风险范围：</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p>
    <w:p w14:paraId="4AFD1A20">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风险费用的计算方法：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p>
    <w:p w14:paraId="30749292">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风险范围以外合同价格的调整方法：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 xml:space="preserve">        </w:t>
      </w:r>
    </w:p>
    <w:p w14:paraId="6BC88244">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3、其他价格方式：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p>
    <w:p w14:paraId="2FC93701">
      <w:pPr>
        <w:spacing w:after="120" w:line="360" w:lineRule="auto"/>
        <w:ind w:firstLine="600" w:firstLineChars="200"/>
        <w:rPr>
          <w:rFonts w:ascii="Times New Roman" w:hAnsi="Times New Roman" w:eastAsia="黑体"/>
          <w:color w:val="000000"/>
          <w:sz w:val="30"/>
          <w:szCs w:val="32"/>
          <w:highlight w:val="none"/>
        </w:rPr>
      </w:pPr>
      <w:bookmarkStart w:id="823" w:name="_Toc296346708"/>
      <w:bookmarkStart w:id="824" w:name="_Toc297123554"/>
      <w:bookmarkStart w:id="825" w:name="_Toc312678042"/>
      <w:bookmarkStart w:id="826" w:name="_Toc296944546"/>
      <w:bookmarkStart w:id="827" w:name="_Toc292559412"/>
      <w:bookmarkStart w:id="828" w:name="_Toc297048393"/>
      <w:bookmarkStart w:id="829" w:name="_Toc292559917"/>
      <w:bookmarkStart w:id="830" w:name="_Toc300935004"/>
      <w:bookmarkStart w:id="831" w:name="_Toc296503207"/>
      <w:bookmarkStart w:id="832" w:name="_Toc303539161"/>
      <w:bookmarkStart w:id="833" w:name="_Toc296891035"/>
      <w:bookmarkStart w:id="834" w:name="_Toc304295581"/>
      <w:bookmarkStart w:id="835" w:name="_Toc297120507"/>
      <w:bookmarkStart w:id="836" w:name="_Toc296347206"/>
      <w:bookmarkStart w:id="837" w:name="_Toc297216213"/>
      <w:bookmarkStart w:id="838" w:name="_Toc296891247"/>
      <w:r>
        <w:rPr>
          <w:rFonts w:ascii="Times New Roman" w:hAnsi="Times New Roman" w:eastAsia="黑体"/>
          <w:color w:val="000000"/>
          <w:sz w:val="30"/>
          <w:szCs w:val="32"/>
          <w:highlight w:val="none"/>
        </w:rPr>
        <w:t>12.2 预付款</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72CE1341">
      <w:pPr>
        <w:spacing w:after="120" w:line="360" w:lineRule="auto"/>
        <w:ind w:firstLine="560" w:firstLineChars="200"/>
        <w:rPr>
          <w:rFonts w:ascii="Times New Roman" w:hAnsi="Times New Roman" w:eastAsia="黑体"/>
          <w:color w:val="000000"/>
          <w:sz w:val="30"/>
          <w:szCs w:val="32"/>
          <w:highlight w:val="none"/>
        </w:rPr>
      </w:pPr>
      <w:r>
        <w:rPr>
          <w:rFonts w:hint="default" w:ascii="方正仿宋_GBK" w:hAnsi="方正仿宋_GBK" w:eastAsia="方正仿宋_GBK" w:cs="方正仿宋_GBK"/>
          <w:color w:val="000000"/>
          <w:sz w:val="28"/>
          <w:szCs w:val="28"/>
          <w:highlight w:val="none"/>
          <w:lang w:val="en-US" w:eastAsia="zh-CN"/>
        </w:rPr>
        <w:t>本工程</w:t>
      </w:r>
      <w:r>
        <w:rPr>
          <w:rFonts w:hint="eastAsia" w:ascii="方正仿宋_GBK" w:hAnsi="方正仿宋_GBK" w:eastAsia="方正仿宋_GBK" w:cs="方正仿宋_GBK"/>
          <w:color w:val="000000"/>
          <w:sz w:val="28"/>
          <w:szCs w:val="28"/>
          <w:highlight w:val="none"/>
          <w:lang w:val="en-US" w:eastAsia="zh-CN"/>
        </w:rPr>
        <w:t>无</w:t>
      </w:r>
      <w:r>
        <w:rPr>
          <w:rFonts w:hint="default" w:ascii="方正仿宋_GBK" w:hAnsi="方正仿宋_GBK" w:eastAsia="方正仿宋_GBK" w:cs="方正仿宋_GBK"/>
          <w:color w:val="000000"/>
          <w:sz w:val="28"/>
          <w:szCs w:val="28"/>
          <w:highlight w:val="none"/>
          <w:lang w:val="en-US" w:eastAsia="zh-CN"/>
        </w:rPr>
        <w:t>预付款</w:t>
      </w:r>
      <w:r>
        <w:rPr>
          <w:rFonts w:hint="eastAsia" w:ascii="方正仿宋_GBK" w:hAnsi="方正仿宋_GBK" w:eastAsia="方正仿宋_GBK" w:cs="方正仿宋_GBK"/>
          <w:color w:val="000000"/>
          <w:sz w:val="28"/>
          <w:szCs w:val="28"/>
          <w:highlight w:val="none"/>
          <w:lang w:val="en-US" w:eastAsia="zh-CN"/>
        </w:rPr>
        <w:t>。</w:t>
      </w:r>
    </w:p>
    <w:p w14:paraId="01C52208">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12.3 计量</w:t>
      </w:r>
    </w:p>
    <w:p w14:paraId="459255AF">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12.3.1 计量原则</w:t>
      </w:r>
    </w:p>
    <w:p w14:paraId="7C47A066">
      <w:pPr>
        <w:spacing w:line="360" w:lineRule="auto"/>
        <w:ind w:firstLine="600" w:firstLineChars="200"/>
        <w:jc w:val="left"/>
        <w:rPr>
          <w:highlight w:val="none"/>
        </w:rPr>
      </w:pPr>
      <w:r>
        <w:rPr>
          <w:rFonts w:hint="eastAsia" w:ascii="Times New Roman" w:hAnsi="Times New Roman" w:eastAsia="仿宋_GB2312" w:cs="Times New Roman"/>
          <w:color w:val="000000"/>
          <w:sz w:val="30"/>
          <w:szCs w:val="32"/>
          <w:highlight w:val="none"/>
          <w:u w:val="single"/>
        </w:rPr>
        <w:t>工程量按《建设工程工程量清单计价规范》（GBG50500-2013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筑工程施工机械台班定额》（CQJXDE-2018）、《重庆市建设工程施工仪器仪表台班定额》（CQYQYBDE-2018）、《重庆市建设工程混凝土及砂浆配合比表》（CQPHBB-2018）、《重庆市建设工程费用定额》（CQFYDE-2018）及《关于建筑业营业税改征增值税调整建设工程计价依据的通知》（渝建发【2016】35号）文件等其他相关配套文件等规定的计算规则及已标价工程量清单规定的工程量计算规则计量。</w:t>
      </w:r>
    </w:p>
    <w:p w14:paraId="1F4A4E2A">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12.3.2 计量周期</w:t>
      </w:r>
    </w:p>
    <w:p w14:paraId="6887E471">
      <w:pPr>
        <w:spacing w:line="360" w:lineRule="auto"/>
        <w:ind w:firstLine="600" w:firstLineChars="200"/>
        <w:jc w:val="left"/>
        <w:rPr>
          <w:highlight w:val="none"/>
        </w:rPr>
      </w:pPr>
      <w:r>
        <w:rPr>
          <w:rFonts w:hint="eastAsia" w:ascii="Times New Roman" w:hAnsi="Times New Roman" w:eastAsia="仿宋_GB2312" w:cs="Times New Roman"/>
          <w:color w:val="000000"/>
          <w:sz w:val="30"/>
          <w:szCs w:val="32"/>
          <w:highlight w:val="none"/>
        </w:rPr>
        <w:t>关于计量周期的约定：</w:t>
      </w:r>
      <w:r>
        <w:rPr>
          <w:rFonts w:hint="eastAsia" w:ascii="Times New Roman" w:hAnsi="Times New Roman" w:eastAsia="仿宋_GB2312" w:cs="Times New Roman"/>
          <w:color w:val="000000"/>
          <w:sz w:val="30"/>
          <w:szCs w:val="32"/>
          <w:highlight w:val="none"/>
          <w:u w:val="single"/>
        </w:rPr>
        <w:t>按月计量根据具体项目实际情况可以按月、按进度、按节点等形式计量，按进度、按节点计量的参考按月计量原则执行）。</w:t>
      </w:r>
    </w:p>
    <w:p w14:paraId="2DEB0C7D">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12.3.3 单价合同的计量</w:t>
      </w:r>
    </w:p>
    <w:p w14:paraId="1DD55C00">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关于单价合同计量的约定：</w:t>
      </w:r>
    </w:p>
    <w:p w14:paraId="2FDC3C24">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（1）承包人应于当前支付节点前向监理人报送已完成的工程量，并附进度付款申请单、已完成工程量报表和其他有关资料。</w:t>
      </w:r>
    </w:p>
    <w:p w14:paraId="2B837C94">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（2）承包人未在已标价的工程量清单中填入单价和（或）总价的子目，视为该子目的费用已包含合同工程的其他子目的单价或总价中，不再另行计量支付。</w:t>
      </w:r>
    </w:p>
    <w:p w14:paraId="54E3C97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5B65739B">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（4）工程量的计量仅作为进度付款和工程施工进度控制的依据，不应认为是承包人履行合同义务完成工程的实际和准确的工程量，实际和准确工程量按竣工图和第12.3.1项〔计量原则〕约定确认的工程量为准。</w:t>
      </w:r>
    </w:p>
    <w:p w14:paraId="13C5B9D9">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12.3.4 总价合同的计量</w:t>
      </w:r>
    </w:p>
    <w:p w14:paraId="261A7F80">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关于总价合同计量的约定：   /   。</w:t>
      </w:r>
    </w:p>
    <w:p w14:paraId="6BB9F1D5">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12.3.5总价合同采用支付分解表计量支付的，是否适用第12.3.4项〔总价合同的计量〕约定进行计量： / 。</w:t>
      </w:r>
    </w:p>
    <w:p w14:paraId="3C1C0595">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12.3.6 其他价格形式合同的计量</w:t>
      </w:r>
    </w:p>
    <w:p w14:paraId="5E2B309D">
      <w:pPr>
        <w:spacing w:line="360" w:lineRule="auto"/>
        <w:ind w:firstLine="600" w:firstLineChars="200"/>
        <w:jc w:val="left"/>
        <w:rPr>
          <w:rFonts w:hint="eastAsia"/>
          <w:highlight w:val="none"/>
        </w:rPr>
      </w:pPr>
      <w:r>
        <w:rPr>
          <w:rFonts w:hint="eastAsia" w:ascii="Times New Roman" w:hAnsi="Times New Roman" w:eastAsia="仿宋_GB2312" w:cs="Times New Roman"/>
          <w:color w:val="000000"/>
          <w:sz w:val="30"/>
          <w:szCs w:val="32"/>
          <w:highlight w:val="none"/>
        </w:rPr>
        <w:t>其他价格形式的计量方式和程序：不采用。</w:t>
      </w:r>
    </w:p>
    <w:p w14:paraId="471CFAEB">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12.4 工程进度款支付</w:t>
      </w:r>
    </w:p>
    <w:p w14:paraId="516D5F49">
      <w:pPr>
        <w:spacing w:line="360" w:lineRule="auto"/>
        <w:ind w:firstLine="600" w:firstLineChars="200"/>
        <w:jc w:val="left"/>
        <w:rPr>
          <w:rFonts w:hint="eastAsia"/>
        </w:rPr>
      </w:pPr>
      <w:r>
        <w:rPr>
          <w:rFonts w:hint="eastAsia" w:ascii="Times New Roman" w:hAnsi="Times New Roman" w:eastAsia="仿宋_GB2312" w:cs="Times New Roman"/>
          <w:color w:val="000000"/>
          <w:sz w:val="30"/>
          <w:szCs w:val="32"/>
          <w:highlight w:val="none"/>
          <w:lang w:val="en-US" w:eastAsia="zh-CN"/>
        </w:rPr>
        <w:t>本工程无预付款，工程竣工验收合格并提交结算资料后支付至双方认定合格工程量的70% ，结算审核完成后支付至审定确定金额的97%，留审定金额的3%作为质保金，缺陷责任期（缺陷责任期为24 个月，自竣工验收合格之日起计算）满后无质量问题，30日内一次性无息支付。</w:t>
      </w:r>
    </w:p>
    <w:bookmarkEnd w:id="770"/>
    <w:p w14:paraId="7C70D4DA">
      <w:pPr>
        <w:pStyle w:val="7"/>
        <w:spacing w:before="120" w:after="120" w:line="360" w:lineRule="auto"/>
        <w:rPr>
          <w:rFonts w:ascii="Times New Roman" w:hAnsi="Times New Roman" w:eastAsia="黑体"/>
          <w:b w:val="0"/>
          <w:color w:val="000000"/>
          <w:sz w:val="32"/>
          <w:szCs w:val="32"/>
        </w:rPr>
      </w:pPr>
      <w:bookmarkStart w:id="839" w:name="_Toc351203645"/>
      <w:bookmarkStart w:id="840" w:name="_Toc292559424"/>
      <w:bookmarkStart w:id="841" w:name="_Toc312678053"/>
      <w:bookmarkStart w:id="842" w:name="_Toc292559929"/>
      <w:bookmarkStart w:id="843" w:name="_Toc296346720"/>
      <w:bookmarkStart w:id="844" w:name="_Toc297123564"/>
      <w:bookmarkStart w:id="845" w:name="_Toc303539172"/>
      <w:bookmarkStart w:id="846" w:name="_Toc297048405"/>
      <w:bookmarkStart w:id="847" w:name="_Toc296891047"/>
      <w:bookmarkStart w:id="848" w:name="_Toc297120519"/>
      <w:bookmarkStart w:id="849" w:name="_Toc297216223"/>
      <w:bookmarkStart w:id="850" w:name="_Toc296503219"/>
      <w:bookmarkStart w:id="851" w:name="_Toc296944558"/>
      <w:bookmarkStart w:id="852" w:name="_Toc296891259"/>
      <w:bookmarkStart w:id="853" w:name="_Toc304295593"/>
      <w:bookmarkStart w:id="854" w:name="_Toc300935015"/>
      <w:bookmarkStart w:id="855" w:name="_Toc296347218"/>
      <w:r>
        <w:rPr>
          <w:rFonts w:ascii="Times New Roman" w:hAnsi="Times New Roman" w:eastAsia="黑体"/>
          <w:b w:val="0"/>
          <w:color w:val="000000"/>
          <w:sz w:val="32"/>
          <w:szCs w:val="32"/>
        </w:rPr>
        <w:t>13.</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验收和工程试车</w:t>
      </w:r>
      <w:bookmarkEnd w:id="839"/>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14:paraId="5B94A8B5">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13.1 分部分项工程验收</w:t>
      </w:r>
    </w:p>
    <w:p w14:paraId="33583A89">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13.1.2监理人不能按时进行验收时，应提前</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24</w:t>
      </w:r>
      <w:r>
        <w:rPr>
          <w:rFonts w:ascii="Times New Roman" w:hAnsi="Times New Roman" w:eastAsia="仿宋_GB2312"/>
          <w:sz w:val="30"/>
          <w:szCs w:val="32"/>
          <w:u w:val="single"/>
        </w:rPr>
        <w:t xml:space="preserve">  </w:t>
      </w:r>
      <w:r>
        <w:rPr>
          <w:rFonts w:ascii="Times New Roman" w:hAnsi="Times New Roman" w:eastAsia="仿宋_GB2312"/>
          <w:sz w:val="30"/>
          <w:szCs w:val="32"/>
        </w:rPr>
        <w:t>小时提交书面延期要求。</w:t>
      </w:r>
    </w:p>
    <w:p w14:paraId="41F54D06">
      <w:pPr>
        <w:spacing w:line="360" w:lineRule="auto"/>
        <w:ind w:firstLine="600" w:firstLineChars="200"/>
        <w:jc w:val="left"/>
        <w:rPr>
          <w:rFonts w:ascii="Times New Roman" w:hAnsi="Times New Roman" w:eastAsia="仿宋_GB2312"/>
          <w:b/>
          <w:color w:val="000000"/>
          <w:sz w:val="30"/>
          <w:szCs w:val="32"/>
        </w:rPr>
      </w:pPr>
      <w:r>
        <w:rPr>
          <w:rFonts w:ascii="Times New Roman" w:hAnsi="Times New Roman" w:eastAsia="仿宋_GB2312"/>
          <w:sz w:val="30"/>
          <w:szCs w:val="32"/>
        </w:rPr>
        <w:t>关于延期最长不得超过：</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48</w:t>
      </w:r>
      <w:r>
        <w:rPr>
          <w:rFonts w:ascii="Times New Roman" w:hAnsi="Times New Roman" w:eastAsia="仿宋_GB2312"/>
          <w:sz w:val="30"/>
          <w:szCs w:val="32"/>
          <w:u w:val="single"/>
        </w:rPr>
        <w:t xml:space="preserve"> </w:t>
      </w:r>
      <w:r>
        <w:rPr>
          <w:rFonts w:ascii="Times New Roman" w:hAnsi="Times New Roman" w:eastAsia="仿宋_GB2312"/>
          <w:sz w:val="30"/>
          <w:szCs w:val="32"/>
        </w:rPr>
        <w:t>小时。</w:t>
      </w:r>
    </w:p>
    <w:p w14:paraId="360C6B2D">
      <w:pPr>
        <w:spacing w:after="120" w:line="360" w:lineRule="auto"/>
        <w:ind w:firstLine="600" w:firstLineChars="200"/>
        <w:rPr>
          <w:rFonts w:ascii="Times New Roman" w:hAnsi="Times New Roman" w:eastAsia="黑体"/>
          <w:color w:val="000000"/>
          <w:sz w:val="30"/>
          <w:szCs w:val="32"/>
        </w:rPr>
      </w:pPr>
      <w:bookmarkStart w:id="856" w:name="_Toc297216224"/>
      <w:bookmarkStart w:id="857" w:name="_Toc312678056"/>
      <w:bookmarkStart w:id="858" w:name="_Toc300935016"/>
      <w:bookmarkStart w:id="859" w:name="_Toc297120523"/>
      <w:bookmarkStart w:id="860" w:name="_Toc296891263"/>
      <w:bookmarkStart w:id="861" w:name="_Toc304295596"/>
      <w:bookmarkStart w:id="862" w:name="_Toc296891051"/>
      <w:bookmarkStart w:id="863" w:name="_Toc292559428"/>
      <w:bookmarkStart w:id="864" w:name="_Toc296346724"/>
      <w:bookmarkStart w:id="865" w:name="_Toc296944562"/>
      <w:bookmarkStart w:id="866" w:name="_Toc292559933"/>
      <w:bookmarkStart w:id="867" w:name="_Toc296503223"/>
      <w:bookmarkStart w:id="868" w:name="_Toc303539173"/>
      <w:bookmarkStart w:id="869" w:name="_Toc297048409"/>
      <w:bookmarkStart w:id="870" w:name="_Toc296347222"/>
      <w:bookmarkStart w:id="871" w:name="_Toc297123565"/>
      <w:bookmarkStart w:id="872" w:name="_Toc267251475"/>
      <w:bookmarkStart w:id="873" w:name="_Toc267251473"/>
      <w:bookmarkStart w:id="874" w:name="_Toc267251476"/>
      <w:bookmarkStart w:id="875" w:name="_Toc267251470"/>
      <w:bookmarkStart w:id="876" w:name="_Toc267251471"/>
      <w:bookmarkStart w:id="877" w:name="_Toc267251472"/>
      <w:bookmarkStart w:id="878" w:name="_Toc267251474"/>
      <w:r>
        <w:rPr>
          <w:rFonts w:ascii="Times New Roman" w:hAnsi="Times New Roman" w:eastAsia="黑体"/>
          <w:color w:val="000000"/>
          <w:sz w:val="30"/>
          <w:szCs w:val="32"/>
        </w:rPr>
        <w:t>13.2 竣工验收</w:t>
      </w:r>
    </w:p>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14:paraId="5FC4070B">
      <w:pPr>
        <w:spacing w:line="360" w:lineRule="auto"/>
        <w:ind w:firstLine="600" w:firstLineChars="200"/>
        <w:jc w:val="left"/>
        <w:rPr>
          <w:rFonts w:ascii="Times New Roman" w:hAnsi="Times New Roman" w:eastAsia="仿宋_GB2312"/>
          <w:color w:val="000000"/>
          <w:sz w:val="30"/>
          <w:szCs w:val="32"/>
        </w:rPr>
      </w:pPr>
      <w:bookmarkStart w:id="879" w:name="_Toc280868704"/>
      <w:bookmarkStart w:id="880" w:name="_Toc280868705"/>
      <w:bookmarkStart w:id="881" w:name="_Toc280868706"/>
      <w:bookmarkStart w:id="882" w:name="_Toc280868707"/>
      <w:bookmarkStart w:id="883" w:name="_Toc280868708"/>
      <w:bookmarkStart w:id="884" w:name="_Toc280868709"/>
      <w:r>
        <w:rPr>
          <w:rFonts w:ascii="Times New Roman" w:hAnsi="Times New Roman" w:eastAsia="仿宋_GB2312"/>
          <w:color w:val="000000"/>
          <w:sz w:val="30"/>
          <w:szCs w:val="32"/>
        </w:rPr>
        <w:t>13.2.2竣工验收程序</w:t>
      </w:r>
    </w:p>
    <w:bookmarkEnd w:id="879"/>
    <w:p w14:paraId="43A34A57">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关于竣工验收程序的约定：</w:t>
      </w:r>
    </w:p>
    <w:p w14:paraId="1E1CBA03">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1)发包人应在收到承包人报送的竣工验收申请报告后 14 天内组织设计人、监理人、质监等其他部门进行验收，竣工日期以最后一次整改后通过竣工验收的时间为准。</w:t>
      </w:r>
    </w:p>
    <w:p w14:paraId="126D3485">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s="Times New Roman"/>
          <w:color w:val="000000"/>
          <w:sz w:val="30"/>
          <w:szCs w:val="32"/>
          <w:u w:val="single"/>
        </w:rPr>
        <w:t>(2) 当工程具备竣工验收条件时，承包人应及时向发包人提交竣工验收申请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Times New Roman" w:hAnsi="Times New Roman" w:eastAsia="仿宋_GB2312"/>
          <w:color w:val="000000"/>
          <w:sz w:val="30"/>
          <w:szCs w:val="32"/>
          <w:u w:val="single"/>
        </w:rPr>
        <w:t xml:space="preserve">  </w:t>
      </w:r>
    </w:p>
    <w:p w14:paraId="16F66CFB">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（3）承包人提供竣工资料的约定：</w:t>
      </w:r>
      <w:r>
        <w:rPr>
          <w:rFonts w:hint="eastAsia" w:ascii="Times New Roman" w:hAnsi="Times New Roman" w:eastAsia="仿宋_GB2312" w:cs="Times New Roman"/>
          <w:color w:val="000000"/>
          <w:sz w:val="30"/>
          <w:szCs w:val="32"/>
          <w:highlight w:val="none"/>
          <w:u w:val="single"/>
          <w:lang w:val="en-US" w:eastAsia="zh-CN"/>
        </w:rPr>
        <w:t xml:space="preserve">                     </w:t>
      </w:r>
      <w:r>
        <w:rPr>
          <w:rFonts w:hint="eastAsia" w:ascii="Times New Roman" w:hAnsi="Times New Roman" w:eastAsia="仿宋_GB2312" w:cs="Times New Roman"/>
          <w:color w:val="000000"/>
          <w:sz w:val="30"/>
          <w:szCs w:val="32"/>
          <w:highlight w:val="none"/>
          <w:u w:val="single"/>
        </w:rPr>
        <w:t>。</w:t>
      </w:r>
    </w:p>
    <w:p w14:paraId="3A9D0BDE">
      <w:pPr>
        <w:pStyle w:val="51"/>
      </w:pPr>
    </w:p>
    <w:p w14:paraId="48197237">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kern w:val="0"/>
          <w:sz w:val="30"/>
          <w:szCs w:val="32"/>
        </w:rPr>
        <w:t>发包人不按照本项约定组织竣工验收、颁发工程接收证书的违约金的计算方法：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880"/>
    <w:p w14:paraId="2C2D1157">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13.2.5移交、接收全部与部分工程</w:t>
      </w:r>
    </w:p>
    <w:bookmarkEnd w:id="881"/>
    <w:p w14:paraId="08576E90">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承包人向发包人移交工程的期限：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28天</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14:paraId="39D3BF81">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发包人未按本合同约定接收全部或部分工程的，违约金的计算方法为：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882"/>
    <w:p w14:paraId="2E0ADDA3">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承包人未按时移交工程的，违约金的计算方法为：</w:t>
      </w:r>
      <w:r>
        <w:rPr>
          <w:rFonts w:hint="eastAsia" w:ascii="Times New Roman" w:hAnsi="Times New Roman" w:eastAsia="仿宋_GB2312"/>
          <w:color w:val="000000"/>
          <w:kern w:val="0"/>
          <w:sz w:val="30"/>
          <w:szCs w:val="32"/>
          <w:u w:val="single"/>
        </w:rPr>
        <w:t>每延误 1 天，承包人按 5000 元/天计算违约金</w:t>
      </w:r>
      <w:r>
        <w:rPr>
          <w:rFonts w:ascii="Times New Roman" w:hAnsi="Times New Roman" w:eastAsia="仿宋_GB2312"/>
          <w:color w:val="000000"/>
          <w:sz w:val="30"/>
          <w:szCs w:val="32"/>
        </w:rPr>
        <w:t>。</w:t>
      </w:r>
      <w:bookmarkEnd w:id="883"/>
    </w:p>
    <w:p w14:paraId="71EF621E">
      <w:pPr>
        <w:spacing w:after="120" w:line="360" w:lineRule="auto"/>
        <w:ind w:firstLine="600" w:firstLineChars="200"/>
        <w:outlineLvl w:val="0"/>
        <w:rPr>
          <w:rFonts w:ascii="Times New Roman" w:hAnsi="Times New Roman" w:eastAsia="黑体"/>
          <w:color w:val="000000"/>
          <w:sz w:val="30"/>
          <w:szCs w:val="32"/>
        </w:rPr>
      </w:pPr>
      <w:bookmarkStart w:id="885" w:name="_Toc32474"/>
      <w:r>
        <w:rPr>
          <w:rFonts w:ascii="Times New Roman" w:hAnsi="Times New Roman" w:eastAsia="黑体"/>
          <w:color w:val="000000"/>
          <w:sz w:val="30"/>
          <w:szCs w:val="32"/>
        </w:rPr>
        <w:t>13.6 竣工退场</w:t>
      </w:r>
      <w:bookmarkEnd w:id="885"/>
    </w:p>
    <w:p w14:paraId="612AF9A0">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13.6.1 竣工退场</w:t>
      </w:r>
    </w:p>
    <w:p w14:paraId="2782E2E5">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承包人完成竣工退场的期限：</w:t>
      </w:r>
      <w:r>
        <w:rPr>
          <w:rFonts w:hint="eastAsia" w:ascii="Times New Roman" w:hAnsi="Times New Roman" w:eastAsia="仿宋_GB2312"/>
          <w:color w:val="000000"/>
          <w:kern w:val="0"/>
          <w:sz w:val="30"/>
          <w:szCs w:val="32"/>
          <w:u w:val="single"/>
        </w:rPr>
        <w:t>工程接收证书颁发后 28 天内，承包人的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Times New Roman" w:hAnsi="Times New Roman" w:eastAsia="仿宋_GB2312"/>
          <w:color w:val="000000"/>
          <w:kern w:val="0"/>
          <w:sz w:val="30"/>
          <w:szCs w:val="32"/>
        </w:rPr>
        <w:t>。</w:t>
      </w:r>
    </w:p>
    <w:p w14:paraId="7C6D7948">
      <w:pPr>
        <w:pStyle w:val="7"/>
        <w:spacing w:before="120" w:after="120" w:line="360" w:lineRule="auto"/>
        <w:rPr>
          <w:rFonts w:ascii="Times New Roman" w:hAnsi="Times New Roman" w:eastAsia="黑体"/>
          <w:b w:val="0"/>
          <w:color w:val="000000"/>
          <w:sz w:val="32"/>
          <w:szCs w:val="32"/>
        </w:rPr>
      </w:pPr>
      <w:bookmarkStart w:id="886" w:name="_Toc351203646"/>
      <w:r>
        <w:rPr>
          <w:rFonts w:ascii="Times New Roman" w:hAnsi="Times New Roman" w:eastAsia="黑体"/>
          <w:b w:val="0"/>
          <w:color w:val="000000"/>
          <w:sz w:val="32"/>
          <w:szCs w:val="32"/>
        </w:rPr>
        <w:t>14. 竣工结算</w:t>
      </w:r>
      <w:bookmarkEnd w:id="886"/>
    </w:p>
    <w:p w14:paraId="29C55D24">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14.1 竣工</w:t>
      </w:r>
      <w:r>
        <w:rPr>
          <w:rFonts w:hint="eastAsia" w:ascii="Times New Roman" w:hAnsi="Times New Roman" w:eastAsia="黑体"/>
          <w:color w:val="000000"/>
          <w:sz w:val="30"/>
          <w:szCs w:val="32"/>
        </w:rPr>
        <w:t>结算</w:t>
      </w:r>
      <w:r>
        <w:rPr>
          <w:rFonts w:ascii="Times New Roman" w:hAnsi="Times New Roman" w:eastAsia="黑体"/>
          <w:color w:val="000000"/>
          <w:sz w:val="30"/>
          <w:szCs w:val="32"/>
        </w:rPr>
        <w:t>申请</w:t>
      </w:r>
    </w:p>
    <w:p w14:paraId="3E1C4BE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sz w:val="30"/>
          <w:szCs w:val="32"/>
        </w:rPr>
        <w:t>承包人提交竣工</w:t>
      </w:r>
      <w:r>
        <w:rPr>
          <w:rFonts w:hint="eastAsia" w:ascii="Times New Roman" w:hAnsi="Times New Roman" w:eastAsia="仿宋_GB2312"/>
          <w:sz w:val="30"/>
          <w:szCs w:val="32"/>
        </w:rPr>
        <w:t>结算</w:t>
      </w:r>
      <w:r>
        <w:rPr>
          <w:rFonts w:ascii="Times New Roman" w:hAnsi="Times New Roman" w:eastAsia="仿宋_GB2312"/>
          <w:sz w:val="30"/>
          <w:szCs w:val="32"/>
        </w:rPr>
        <w:t>申请单的期限：</w:t>
      </w:r>
      <w:r>
        <w:rPr>
          <w:rFonts w:hint="eastAsia" w:ascii="Times New Roman" w:hAnsi="Times New Roman" w:eastAsia="仿宋_GB2312"/>
          <w:sz w:val="30"/>
          <w:szCs w:val="32"/>
          <w:u w:val="single"/>
        </w:rPr>
        <w:t>承包人提交竣工结算申请的时间：承包人应在工程竣工验收合格且报送完整工程竣工资料之日起28天内向监理人、发包人提交竣工结算申请单，并向发包人报送完整的工程竣工资料及经监理人初审确认的完整的竣工结算资</w:t>
      </w:r>
      <w:r>
        <w:rPr>
          <w:rFonts w:hint="eastAsia" w:ascii="Times New Roman" w:hAnsi="Times New Roman" w:eastAsia="仿宋_GB2312"/>
          <w:sz w:val="30"/>
          <w:szCs w:val="32"/>
          <w:highlight w:val="none"/>
          <w:u w:val="single"/>
        </w:rPr>
        <w:t>料。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工程结算相关规定按照“重庆市住房和城乡建设委员会关于完善房屋建筑和市政基础设施工程价款结算有关办法的通知-渝建管〔2022〕238号”执行</w:t>
      </w:r>
      <w:r>
        <w:rPr>
          <w:rFonts w:ascii="Times New Roman" w:hAnsi="Times New Roman" w:eastAsia="仿宋_GB2312"/>
          <w:color w:val="000000"/>
          <w:sz w:val="30"/>
          <w:szCs w:val="32"/>
          <w:highlight w:val="none"/>
          <w:u w:val="single"/>
        </w:rPr>
        <w:t>。</w:t>
      </w:r>
    </w:p>
    <w:p w14:paraId="31C4B51E">
      <w:pPr>
        <w:spacing w:line="360" w:lineRule="auto"/>
        <w:ind w:firstLine="600" w:firstLineChars="200"/>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竣工</w:t>
      </w:r>
      <w:r>
        <w:rPr>
          <w:rFonts w:hint="eastAsia" w:ascii="Times New Roman" w:hAnsi="Times New Roman" w:eastAsia="仿宋_GB2312"/>
          <w:color w:val="000000"/>
          <w:sz w:val="30"/>
          <w:szCs w:val="32"/>
          <w:highlight w:val="none"/>
        </w:rPr>
        <w:t>结算</w:t>
      </w:r>
      <w:r>
        <w:rPr>
          <w:rFonts w:ascii="Times New Roman" w:hAnsi="Times New Roman" w:eastAsia="仿宋_GB2312"/>
          <w:color w:val="000000"/>
          <w:sz w:val="30"/>
          <w:szCs w:val="32"/>
          <w:highlight w:val="none"/>
        </w:rPr>
        <w:t>申请单应包括的</w:t>
      </w:r>
      <w:r>
        <w:rPr>
          <w:rFonts w:hint="eastAsia" w:ascii="Times New Roman" w:hAnsi="Times New Roman" w:eastAsia="仿宋_GB2312"/>
          <w:color w:val="000000"/>
          <w:sz w:val="30"/>
          <w:szCs w:val="32"/>
          <w:highlight w:val="none"/>
        </w:rPr>
        <w:t>包括但不限于以下内容：</w:t>
      </w:r>
    </w:p>
    <w:p w14:paraId="6F332945">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(1)竣工结算合同价格；</w:t>
      </w:r>
    </w:p>
    <w:p w14:paraId="53464BB8">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(2)变更增减金额；</w:t>
      </w:r>
    </w:p>
    <w:p w14:paraId="0C763FF2">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(3)索赔增减金额；</w:t>
      </w:r>
    </w:p>
    <w:p w14:paraId="2610361B">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(4)奖励、罚金及违约金；</w:t>
      </w:r>
    </w:p>
    <w:p w14:paraId="283E95FF">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(5)发包人已支付承包人的款项；</w:t>
      </w:r>
    </w:p>
    <w:p w14:paraId="008CCA45">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 xml:space="preserve">(6) 采用第 </w:t>
      </w:r>
      <w:r>
        <w:rPr>
          <w:rFonts w:hint="eastAsia" w:ascii="Times New Roman" w:hAnsi="Times New Roman" w:eastAsia="仿宋_GB2312"/>
          <w:color w:val="000000"/>
          <w:sz w:val="30"/>
          <w:szCs w:val="32"/>
          <w:highlight w:val="none"/>
          <w:lang w:val="en-US" w:eastAsia="zh-CN"/>
        </w:rPr>
        <w:t>15.3</w:t>
      </w:r>
      <w:r>
        <w:rPr>
          <w:rFonts w:hint="eastAsia" w:ascii="Times New Roman" w:hAnsi="Times New Roman" w:eastAsia="仿宋_GB2312"/>
          <w:color w:val="000000"/>
          <w:sz w:val="30"/>
          <w:szCs w:val="32"/>
          <w:highlight w:val="none"/>
        </w:rPr>
        <w:t>.1 项[承包人提供质量保证金的方式]第（2）种方式提供质量保证金的，应当列明应预留的质量保证金金额；采用第</w:t>
      </w:r>
      <w:r>
        <w:rPr>
          <w:rFonts w:hint="eastAsia" w:ascii="Times New Roman" w:hAnsi="Times New Roman" w:eastAsia="仿宋_GB2312"/>
          <w:color w:val="000000"/>
          <w:sz w:val="30"/>
          <w:szCs w:val="32"/>
          <w:highlight w:val="none"/>
          <w:lang w:val="en-US" w:eastAsia="zh-CN"/>
        </w:rPr>
        <w:t>15.3</w:t>
      </w:r>
      <w:r>
        <w:rPr>
          <w:rFonts w:hint="eastAsia" w:ascii="Times New Roman" w:hAnsi="Times New Roman" w:eastAsia="仿宋_GB2312"/>
          <w:color w:val="000000"/>
          <w:sz w:val="30"/>
          <w:szCs w:val="32"/>
          <w:highlight w:val="none"/>
        </w:rPr>
        <w:t>.1项[承包人提供质量保证金的方式]中其他方式提供质量保证金的，应当按第 1</w:t>
      </w:r>
      <w:r>
        <w:rPr>
          <w:rFonts w:hint="eastAsia" w:ascii="Times New Roman" w:hAnsi="Times New Roman" w:eastAsia="仿宋_GB2312"/>
          <w:color w:val="000000"/>
          <w:sz w:val="30"/>
          <w:szCs w:val="32"/>
          <w:highlight w:val="none"/>
          <w:lang w:val="en-US" w:eastAsia="zh-CN"/>
        </w:rPr>
        <w:t>5</w:t>
      </w:r>
      <w:r>
        <w:rPr>
          <w:rFonts w:hint="eastAsia" w:ascii="Times New Roman" w:hAnsi="Times New Roman" w:eastAsia="仿宋_GB2312"/>
          <w:color w:val="000000"/>
          <w:sz w:val="30"/>
          <w:szCs w:val="32"/>
          <w:highlight w:val="none"/>
        </w:rPr>
        <w:t>.</w:t>
      </w:r>
      <w:r>
        <w:rPr>
          <w:rFonts w:hint="eastAsia" w:ascii="Times New Roman" w:hAnsi="Times New Roman" w:eastAsia="仿宋_GB2312"/>
          <w:color w:val="000000"/>
          <w:sz w:val="30"/>
          <w:szCs w:val="32"/>
          <w:highlight w:val="none"/>
          <w:lang w:val="en-US" w:eastAsia="zh-CN"/>
        </w:rPr>
        <w:t>3</w:t>
      </w:r>
      <w:r>
        <w:rPr>
          <w:rFonts w:hint="eastAsia" w:ascii="Times New Roman" w:hAnsi="Times New Roman" w:eastAsia="仿宋_GB2312"/>
          <w:color w:val="000000"/>
          <w:sz w:val="30"/>
          <w:szCs w:val="32"/>
          <w:highlight w:val="none"/>
        </w:rPr>
        <w:t xml:space="preserve"> 款[质量保证金]提供相关文件作为附件；</w:t>
      </w:r>
    </w:p>
    <w:p w14:paraId="106F9E4B">
      <w:pPr>
        <w:spacing w:line="360" w:lineRule="auto"/>
        <w:ind w:firstLine="600" w:firstLineChars="200"/>
        <w:jc w:val="left"/>
        <w:rPr>
          <w:rFonts w:ascii="Times New Roman" w:hAnsi="Times New Roman" w:eastAsia="仿宋_GB2312"/>
          <w:sz w:val="30"/>
          <w:szCs w:val="32"/>
          <w:highlight w:val="none"/>
        </w:rPr>
      </w:pPr>
      <w:r>
        <w:rPr>
          <w:rFonts w:hint="eastAsia" w:ascii="Times New Roman" w:hAnsi="Times New Roman" w:eastAsia="仿宋_GB2312"/>
          <w:color w:val="000000"/>
          <w:sz w:val="30"/>
          <w:szCs w:val="32"/>
          <w:highlight w:val="none"/>
        </w:rPr>
        <w:t>(7)发包人应支付承包人的合同价款</w:t>
      </w:r>
      <w:r>
        <w:rPr>
          <w:rFonts w:ascii="Times New Roman" w:hAnsi="Times New Roman" w:eastAsia="仿宋_GB2312"/>
          <w:color w:val="000000"/>
          <w:sz w:val="30"/>
          <w:szCs w:val="32"/>
          <w:highlight w:val="none"/>
        </w:rPr>
        <w:t>。</w:t>
      </w:r>
    </w:p>
    <w:p w14:paraId="50586618">
      <w:pPr>
        <w:spacing w:after="120" w:line="360" w:lineRule="auto"/>
        <w:ind w:firstLine="600" w:firstLineChars="200"/>
        <w:outlineLvl w:val="0"/>
        <w:rPr>
          <w:rFonts w:ascii="Times New Roman" w:hAnsi="Times New Roman" w:eastAsia="仿宋_GB2312"/>
          <w:sz w:val="30"/>
          <w:szCs w:val="32"/>
          <w:highlight w:val="none"/>
        </w:rPr>
      </w:pPr>
      <w:bookmarkStart w:id="887" w:name="_Toc4504"/>
      <w:r>
        <w:rPr>
          <w:rFonts w:ascii="Times New Roman" w:hAnsi="Times New Roman" w:eastAsia="黑体"/>
          <w:color w:val="000000"/>
          <w:sz w:val="30"/>
          <w:szCs w:val="32"/>
          <w:highlight w:val="none"/>
        </w:rPr>
        <w:t>14.2 竣工结算审核</w:t>
      </w:r>
      <w:bookmarkEnd w:id="887"/>
    </w:p>
    <w:p w14:paraId="1695E084">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14.2.1 竣工结算办法</w:t>
      </w:r>
    </w:p>
    <w:p w14:paraId="09D80A32">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14.2.1.1计量原则</w:t>
      </w:r>
    </w:p>
    <w:p w14:paraId="63B57A44">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按照第12.3.1项〔计量原则〕约定执行。</w:t>
      </w:r>
    </w:p>
    <w:p w14:paraId="1DC88CAF">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14.2.1.2计价原则</w:t>
      </w:r>
    </w:p>
    <w:p w14:paraId="09369B52">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合同竣工结算价=Σ分部分项工程结算价+Σ措施项目结算价+Σ其他项目结算价±Σ价格调整（如有）±Σ变更、索赔与现场签证结算价±Σ奖励、罚金、违约金及其他费用+Σ规费+Σ税金。</w:t>
      </w:r>
    </w:p>
    <w:p w14:paraId="2B4BCE50">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具体结算办法如下：</w:t>
      </w:r>
    </w:p>
    <w:p w14:paraId="49E02198">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（1）分部分项工程：</w:t>
      </w:r>
    </w:p>
    <w:p w14:paraId="0B11FE91">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①已标价工程量清单子目综合单价按合同约定无需调整的，以按照竣工图和第12.3.1项〔计量原则〕约定确定的工程量乘以相应的已标价工程量清单子目综合单价确定该部分分部分项工程结算价；</w:t>
      </w:r>
    </w:p>
    <w:p w14:paraId="4357638D">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p>
    <w:p w14:paraId="53756A53">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③需要对没有填入综合单价或总额价的子目项目进行扣减的，第12.3.1项〔计量原则〕约定确定的工程量乘以按照10.4.1〔变更估价原则〕（3）目约定的综合单价进行扣减；</w:t>
      </w:r>
    </w:p>
    <w:p w14:paraId="24B85145">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④合同、已标价工程量清单和比选文件另有约定的，按照其约定执行。</w:t>
      </w:r>
    </w:p>
    <w:p w14:paraId="1AD758B8">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（2）措施项目：</w:t>
      </w:r>
    </w:p>
    <w:p w14:paraId="0FC2377B">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①已标价工程量清单范围内以项为计量单位的措施项目费（安全文明施工费除外）包干使用；不以项为计量单位的措施项目费按第14.2.1项〔竣工结算办理办法〕分部分项约定执行。</w:t>
      </w:r>
    </w:p>
    <w:p w14:paraId="3EB2F18D">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②工程变更引起施工方案改变使措施项目发生变化的，经监理人、发包人确定后可对按第10.4.3项约定执行。</w:t>
      </w:r>
    </w:p>
    <w:p w14:paraId="42CF24A3">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的规定进行结算。</w:t>
      </w:r>
    </w:p>
    <w:p w14:paraId="00EDC645">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（3）其他项目：</w:t>
      </w:r>
    </w:p>
    <w:p w14:paraId="4BEB963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①材料（工程设备）暂估价：按照第12.3.1项〔计量原则〕约定及对应定额消耗量确定的数量乘以监理人、跟审单位、发包人根据市场行情认质核价确定的价格进行结算。</w:t>
      </w:r>
    </w:p>
    <w:p w14:paraId="1CFD2EE0">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②专业工程暂估价：</w:t>
      </w:r>
    </w:p>
    <w:p w14:paraId="52F1EA9F">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1）对于不属于依法必须招标的暂估价项目：按发包人审定的价格进行结算。</w:t>
      </w:r>
    </w:p>
    <w:p w14:paraId="48F4340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2）对于依法必须招标的暂估价项目：达到招标规模标准的暂估价内容，包括专业工程暂估价和材料设备暂估价均应招标确定，并按暂估价比选文件约定结算。</w:t>
      </w:r>
    </w:p>
    <w:p w14:paraId="23E9AF7F">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3）总承包服务费：总承包服务费包干使用，结算时不作调整。</w:t>
      </w:r>
    </w:p>
    <w:p w14:paraId="1787119A">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（4）价格调整：按照第11条〔价格调整〕约定约定执行。</w:t>
      </w:r>
    </w:p>
    <w:p w14:paraId="4963C721">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（5）工程变更、索赔与现场签证：</w:t>
      </w:r>
    </w:p>
    <w:p w14:paraId="7D6B5239">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696D8F63">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2）索赔：按照第10.4.1项〔变更估价原则〕和第14.2.1项〔竣工结算办法〕约定执行。</w:t>
      </w:r>
    </w:p>
    <w:p w14:paraId="1FB49A92">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3）现场签证：按照第10.4.1项〔变更估价原则〕和第14.2.1项〔竣工结算办法〕约定执行。</w:t>
      </w:r>
    </w:p>
    <w:p w14:paraId="24DB91B5">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（6）奖励、罚金、违约金及其他费用：按实进行结算。</w:t>
      </w:r>
    </w:p>
    <w:p w14:paraId="13B87F0D">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（7）规费：已标价工程量清单中规费费用按《重庆市建设工程费用定额》（CQFYDE-2018）执行。</w:t>
      </w:r>
    </w:p>
    <w:p w14:paraId="7A0CC01A">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4D8C94C9">
      <w:pPr>
        <w:pStyle w:val="2"/>
        <w:ind w:firstLine="600" w:firstLineChars="200"/>
        <w:jc w:val="both"/>
        <w:rPr>
          <w:rFonts w:hint="default" w:ascii="Times New Roman" w:hAnsi="Times New Roman" w:eastAsia="仿宋_GB2312" w:cs="Times New Roman"/>
          <w:color w:val="000000"/>
          <w:sz w:val="30"/>
          <w:szCs w:val="32"/>
          <w:highlight w:val="none"/>
          <w:lang w:val="en-US" w:eastAsia="zh-CN"/>
        </w:rPr>
      </w:pPr>
      <w:r>
        <w:rPr>
          <w:rFonts w:hint="eastAsia" w:ascii="Times New Roman" w:hAnsi="Times New Roman" w:eastAsia="仿宋_GB2312" w:cs="Times New Roman"/>
          <w:color w:val="000000"/>
          <w:sz w:val="30"/>
          <w:szCs w:val="32"/>
          <w:highlight w:val="none"/>
        </w:rPr>
        <w:t>14.2.</w:t>
      </w:r>
      <w:r>
        <w:rPr>
          <w:rFonts w:hint="eastAsia" w:ascii="Times New Roman" w:hAnsi="Times New Roman" w:eastAsia="仿宋_GB2312" w:cs="Times New Roman"/>
          <w:color w:val="000000"/>
          <w:sz w:val="30"/>
          <w:szCs w:val="32"/>
          <w:highlight w:val="none"/>
          <w:lang w:val="en-US" w:eastAsia="zh-CN"/>
        </w:rPr>
        <w:t>2 资料要求</w:t>
      </w:r>
    </w:p>
    <w:p w14:paraId="5FD1666B">
      <w:pPr>
        <w:pStyle w:val="3"/>
        <w:ind w:left="0" w:leftChars="0" w:firstLine="0" w:firstLineChars="0"/>
        <w:rPr>
          <w:rFonts w:hint="default"/>
          <w:highlight w:val="none"/>
          <w:lang w:val="en-US" w:eastAsia="zh-CN"/>
        </w:rPr>
      </w:pPr>
      <w:r>
        <w:rPr>
          <w:rFonts w:hint="eastAsia" w:ascii="Times New Roman" w:hAnsi="Times New Roman" w:eastAsia="仿宋_GB2312" w:cs="Times New Roman"/>
          <w:color w:val="000000"/>
          <w:sz w:val="30"/>
          <w:szCs w:val="32"/>
          <w:highlight w:val="none"/>
          <w:lang w:val="en-US" w:eastAsia="zh-CN"/>
        </w:rPr>
        <w:t xml:space="preserve">    未经发包人签字盖章完善的收方、签证、变更等资料，不作为结算依据。</w:t>
      </w:r>
    </w:p>
    <w:p w14:paraId="4EDBD4FD">
      <w:pPr>
        <w:pStyle w:val="51"/>
        <w:rPr>
          <w:rFonts w:hint="eastAsia"/>
        </w:rPr>
      </w:pPr>
    </w:p>
    <w:p w14:paraId="16FB8B09">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14.4 最终结清</w:t>
      </w:r>
    </w:p>
    <w:p w14:paraId="3410D781">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14.4.1 最终结清申请单</w:t>
      </w:r>
    </w:p>
    <w:p w14:paraId="05F77BEB">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承包人提交最终结清申请单的份数：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3份</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67D15846">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color w:val="000000"/>
          <w:kern w:val="0"/>
          <w:sz w:val="30"/>
          <w:szCs w:val="32"/>
        </w:rPr>
        <w:t>承包人提交最终结算申请单的期限：</w:t>
      </w:r>
      <w:r>
        <w:rPr>
          <w:rFonts w:hint="eastAsia" w:ascii="Times New Roman" w:hAnsi="Times New Roman" w:eastAsia="仿宋_GB2312"/>
          <w:color w:val="000000"/>
          <w:kern w:val="0"/>
          <w:sz w:val="30"/>
          <w:szCs w:val="32"/>
          <w:u w:val="single"/>
        </w:rPr>
        <w:t>在缺陷责任期终止证书颁发后的28天内</w:t>
      </w:r>
      <w:r>
        <w:rPr>
          <w:rFonts w:ascii="Times New Roman" w:hAnsi="Times New Roman" w:eastAsia="仿宋_GB2312"/>
          <w:color w:val="000000"/>
          <w:sz w:val="30"/>
          <w:szCs w:val="32"/>
          <w:u w:val="single"/>
        </w:rPr>
        <w:t>。</w:t>
      </w:r>
      <w:r>
        <w:rPr>
          <w:rFonts w:ascii="Times New Roman" w:hAnsi="Times New Roman" w:eastAsia="仿宋_GB2312"/>
          <w:sz w:val="30"/>
          <w:szCs w:val="32"/>
          <w:u w:val="single"/>
        </w:rPr>
        <w:t xml:space="preserve"> </w:t>
      </w:r>
    </w:p>
    <w:p w14:paraId="5F00EA25">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14.4.2 最终结清证书和支付</w:t>
      </w:r>
    </w:p>
    <w:p w14:paraId="498041BD">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sz w:val="30"/>
          <w:szCs w:val="32"/>
        </w:rPr>
        <w:t>（1）发包人完成最终结清申请单的</w:t>
      </w:r>
      <w:r>
        <w:rPr>
          <w:rFonts w:hint="eastAsia" w:ascii="Times New Roman" w:hAnsi="Times New Roman" w:eastAsia="仿宋_GB2312"/>
          <w:sz w:val="30"/>
          <w:szCs w:val="32"/>
        </w:rPr>
        <w:t>审批</w:t>
      </w:r>
      <w:r>
        <w:rPr>
          <w:rFonts w:ascii="Times New Roman" w:hAnsi="Times New Roman" w:eastAsia="仿宋_GB2312"/>
          <w:sz w:val="30"/>
          <w:szCs w:val="32"/>
        </w:rPr>
        <w:t>并颁发最终结清证书的期限：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在收到承包人提交的最终结清申请单后 14天内完成审批并向承包人颁发最终结清证书</w:t>
      </w:r>
      <w:r>
        <w:rPr>
          <w:rFonts w:ascii="Times New Roman" w:hAnsi="Times New Roman" w:eastAsia="仿宋_GB2312"/>
          <w:color w:val="000000"/>
          <w:sz w:val="30"/>
          <w:szCs w:val="32"/>
        </w:rPr>
        <w:t>。</w:t>
      </w:r>
    </w:p>
    <w:p w14:paraId="0A7E3314">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本条补充14.5款：</w:t>
      </w:r>
    </w:p>
    <w:p w14:paraId="5EBF6D75">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14.5 逾期办理或不配合办理竣工结算的处理</w:t>
      </w:r>
    </w:p>
    <w:p w14:paraId="22E09E54">
      <w:pPr>
        <w:pStyle w:val="51"/>
        <w:numPr>
          <w:ilvl w:val="0"/>
          <w:numId w:val="0"/>
        </w:numPr>
        <w:ind w:right="63" w:rightChars="30" w:firstLine="600" w:firstLineChars="200"/>
        <w:jc w:val="both"/>
        <w:rPr>
          <w:rFonts w:hint="eastAsia"/>
          <w:highlight w:val="none"/>
        </w:rPr>
      </w:pPr>
      <w:r>
        <w:rPr>
          <w:rFonts w:hint="eastAsia" w:ascii="Times New Roman" w:hAnsi="Times New Roman" w:eastAsia="仿宋_GB2312" w:cs="Times New Roman"/>
          <w:color w:val="000000"/>
          <w:sz w:val="30"/>
          <w:szCs w:val="32"/>
          <w:highlight w:val="none"/>
          <w:lang w:val="en-US" w:eastAsia="zh-CN"/>
        </w:rPr>
        <w:t>1.</w:t>
      </w:r>
      <w:r>
        <w:rPr>
          <w:rFonts w:hint="eastAsia" w:ascii="华文仿宋" w:hAnsi="华文仿宋" w:eastAsia="华文仿宋" w:cs="华文仿宋"/>
          <w:color w:val="auto"/>
          <w:sz w:val="30"/>
          <w:szCs w:val="30"/>
          <w:highlight w:val="none"/>
          <w:lang w:val="en-US" w:eastAsia="zh-CN"/>
        </w:rPr>
        <w:t>工程完工必须在三个月内办理竣工结算送审，逾期未办理结算的结算审核费用由承包人承担。</w:t>
      </w:r>
    </w:p>
    <w:p w14:paraId="0489851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lang w:val="en-US" w:eastAsia="zh-CN"/>
        </w:rPr>
        <w:t>2.</w:t>
      </w:r>
      <w:r>
        <w:rPr>
          <w:rFonts w:hint="eastAsia" w:ascii="Times New Roman" w:hAnsi="Times New Roman" w:eastAsia="仿宋_GB2312" w:cs="Times New Roman"/>
          <w:color w:val="000000"/>
          <w:sz w:val="30"/>
          <w:szCs w:val="32"/>
          <w:highlight w:val="none"/>
        </w:rPr>
        <w:t>有下列情形之一的，视为承包人放弃与发包人共同办理竣工结算的权利，发包人有权会同跟审单位、监理人根据有效资料共同确定竣工结算金额。</w:t>
      </w:r>
    </w:p>
    <w:p w14:paraId="56D1E1D3">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（1）承包人逾期</w:t>
      </w:r>
      <w:r>
        <w:rPr>
          <w:rFonts w:hint="eastAsia" w:ascii="Times New Roman" w:hAnsi="Times New Roman" w:eastAsia="仿宋_GB2312" w:cs="Times New Roman"/>
          <w:color w:val="000000"/>
          <w:sz w:val="30"/>
          <w:szCs w:val="32"/>
          <w:highlight w:val="none"/>
          <w:lang w:eastAsia="zh-CN"/>
        </w:rPr>
        <w:t>（</w:t>
      </w:r>
      <w:r>
        <w:rPr>
          <w:rFonts w:hint="eastAsia" w:ascii="Times New Roman" w:hAnsi="Times New Roman" w:eastAsia="仿宋_GB2312" w:cs="Times New Roman"/>
          <w:color w:val="000000"/>
          <w:sz w:val="30"/>
          <w:szCs w:val="32"/>
          <w:highlight w:val="none"/>
          <w:lang w:val="en-US" w:eastAsia="zh-CN"/>
        </w:rPr>
        <w:t>三个月内</w:t>
      </w:r>
      <w:r>
        <w:rPr>
          <w:rFonts w:hint="eastAsia" w:ascii="Times New Roman" w:hAnsi="Times New Roman" w:eastAsia="仿宋_GB2312" w:cs="Times New Roman"/>
          <w:color w:val="000000"/>
          <w:sz w:val="30"/>
          <w:szCs w:val="32"/>
          <w:highlight w:val="none"/>
          <w:lang w:eastAsia="zh-CN"/>
        </w:rPr>
        <w:t>）</w:t>
      </w:r>
      <w:r>
        <w:rPr>
          <w:rFonts w:hint="eastAsia" w:ascii="Times New Roman" w:hAnsi="Times New Roman" w:eastAsia="仿宋_GB2312" w:cs="Times New Roman"/>
          <w:color w:val="000000"/>
          <w:sz w:val="30"/>
          <w:szCs w:val="32"/>
          <w:highlight w:val="none"/>
        </w:rPr>
        <w:t>未报送竣工结算资料，亦未获得发包人批准延期报送，经发包人两次书面催告仍未在限期内报送的；</w:t>
      </w:r>
    </w:p>
    <w:p w14:paraId="0608E8C6">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2AC426C3">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（3）承包人不配合发包人、跟审单位、监理人、发包人委托的工程造价咨询服务单位办理竣工结算的，经发包人两次书面函告仍未改正的。</w:t>
      </w:r>
    </w:p>
    <w:p w14:paraId="5B305597">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（4）</w:t>
      </w:r>
      <w:r>
        <w:rPr>
          <w:rFonts w:hint="eastAsia" w:ascii="Times New Roman" w:hAnsi="Times New Roman" w:eastAsia="仿宋_GB2312" w:cs="Times New Roman"/>
          <w:color w:val="000000"/>
          <w:sz w:val="30"/>
          <w:szCs w:val="32"/>
          <w:highlight w:val="none"/>
          <w:u w:val="single"/>
        </w:rPr>
        <w:t xml:space="preserve">        </w:t>
      </w:r>
      <w:r>
        <w:rPr>
          <w:rFonts w:hint="eastAsia" w:ascii="Times New Roman" w:hAnsi="Times New Roman" w:eastAsia="仿宋_GB2312" w:cs="Times New Roman"/>
          <w:color w:val="000000"/>
          <w:sz w:val="30"/>
          <w:szCs w:val="32"/>
          <w:highlight w:val="none"/>
        </w:rPr>
        <w:t>。</w:t>
      </w:r>
    </w:p>
    <w:p w14:paraId="522BD888">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bookmarkEnd w:id="872"/>
    <w:bookmarkEnd w:id="873"/>
    <w:bookmarkEnd w:id="874"/>
    <w:bookmarkEnd w:id="875"/>
    <w:bookmarkEnd w:id="876"/>
    <w:bookmarkEnd w:id="877"/>
    <w:bookmarkEnd w:id="878"/>
    <w:bookmarkEnd w:id="884"/>
    <w:p w14:paraId="70980587">
      <w:pPr>
        <w:pStyle w:val="7"/>
        <w:spacing w:before="120" w:after="120" w:line="360" w:lineRule="auto"/>
        <w:rPr>
          <w:rFonts w:ascii="Times New Roman" w:hAnsi="Times New Roman" w:eastAsia="黑体"/>
          <w:b w:val="0"/>
          <w:color w:val="000000"/>
          <w:sz w:val="32"/>
          <w:szCs w:val="32"/>
        </w:rPr>
      </w:pPr>
      <w:bookmarkStart w:id="888" w:name="_Toc351203647"/>
      <w:bookmarkStart w:id="889" w:name="_Toc267251483"/>
      <w:bookmarkStart w:id="890" w:name="_Toc267251482"/>
      <w:bookmarkStart w:id="891" w:name="_Toc267251484"/>
      <w:bookmarkStart w:id="892" w:name="_Toc267251485"/>
      <w:bookmarkStart w:id="893" w:name="_Toc267251486"/>
      <w:bookmarkStart w:id="894" w:name="_Toc267251488"/>
      <w:bookmarkStart w:id="895" w:name="_Toc267251489"/>
      <w:bookmarkStart w:id="896" w:name="_Toc267251490"/>
      <w:bookmarkStart w:id="897" w:name="_Toc267251491"/>
      <w:bookmarkStart w:id="898" w:name="_Toc267251493"/>
      <w:bookmarkStart w:id="899" w:name="_Toc267251495"/>
      <w:bookmarkStart w:id="900" w:name="_Toc267251497"/>
      <w:bookmarkStart w:id="901" w:name="_Toc267251503"/>
      <w:bookmarkStart w:id="902" w:name="_Toc267251496"/>
      <w:bookmarkStart w:id="903" w:name="_Toc267251498"/>
      <w:bookmarkStart w:id="904" w:name="_Toc267251492"/>
      <w:bookmarkStart w:id="905" w:name="_Toc267251501"/>
      <w:bookmarkStart w:id="906" w:name="_Toc267251494"/>
      <w:bookmarkStart w:id="907" w:name="_Toc267251499"/>
      <w:bookmarkStart w:id="908" w:name="_Toc267251502"/>
      <w:bookmarkStart w:id="909" w:name="_Toc267251506"/>
      <w:bookmarkStart w:id="910" w:name="_Toc267251504"/>
      <w:bookmarkStart w:id="911" w:name="_Toc267251507"/>
      <w:bookmarkStart w:id="912" w:name="_Toc267251508"/>
      <w:bookmarkStart w:id="913" w:name="_Toc267251514"/>
      <w:bookmarkStart w:id="914" w:name="_Toc267251510"/>
      <w:bookmarkStart w:id="915" w:name="_Toc267251515"/>
      <w:bookmarkStart w:id="916" w:name="_Toc267251509"/>
      <w:bookmarkStart w:id="917" w:name="_Toc267251511"/>
      <w:bookmarkStart w:id="918" w:name="_Toc267251513"/>
      <w:r>
        <w:rPr>
          <w:rFonts w:ascii="Times New Roman" w:hAnsi="Times New Roman" w:eastAsia="黑体"/>
          <w:b w:val="0"/>
          <w:color w:val="000000"/>
          <w:sz w:val="32"/>
          <w:szCs w:val="32"/>
        </w:rPr>
        <w:t>15. 缺陷责任期与保修</w:t>
      </w:r>
      <w:bookmarkEnd w:id="888"/>
    </w:p>
    <w:p w14:paraId="3090093A">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15.2缺陷责任期</w:t>
      </w:r>
      <w:bookmarkEnd w:id="889"/>
    </w:p>
    <w:p w14:paraId="2AAA76B1">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缺陷责任期的具体期限：</w:t>
      </w:r>
      <w:r>
        <w:rPr>
          <w:rFonts w:hint="eastAsia" w:ascii="Times New Roman" w:hAnsi="Times New Roman" w:eastAsia="仿宋_GB2312"/>
          <w:color w:val="000000"/>
          <w:sz w:val="30"/>
          <w:szCs w:val="32"/>
          <w:u w:val="single"/>
        </w:rPr>
        <w:t>缺陷责任期为</w:t>
      </w:r>
      <w:r>
        <w:rPr>
          <w:rFonts w:hint="eastAsia" w:ascii="Times New Roman" w:hAnsi="Times New Roman" w:eastAsia="仿宋_GB2312"/>
          <w:color w:val="000000"/>
          <w:sz w:val="30"/>
          <w:szCs w:val="32"/>
          <w:highlight w:val="none"/>
          <w:u w:val="single"/>
          <w:lang w:val="en-US" w:eastAsia="zh-CN"/>
        </w:rPr>
        <w:t>24</w:t>
      </w:r>
      <w:r>
        <w:rPr>
          <w:rFonts w:hint="eastAsia" w:ascii="Times New Roman" w:hAnsi="Times New Roman" w:eastAsia="仿宋_GB2312"/>
          <w:color w:val="000000"/>
          <w:sz w:val="30"/>
          <w:szCs w:val="32"/>
          <w:highlight w:val="none"/>
          <w:u w:val="single"/>
        </w:rPr>
        <w:t>个</w:t>
      </w:r>
      <w:r>
        <w:rPr>
          <w:rFonts w:hint="eastAsia" w:ascii="Times New Roman" w:hAnsi="Times New Roman" w:eastAsia="仿宋_GB2312"/>
          <w:color w:val="000000"/>
          <w:sz w:val="30"/>
          <w:szCs w:val="32"/>
          <w:u w:val="single"/>
        </w:rPr>
        <w:t>月</w:t>
      </w:r>
      <w:r>
        <w:rPr>
          <w:rFonts w:ascii="Times New Roman" w:hAnsi="Times New Roman" w:eastAsia="仿宋_GB2312"/>
          <w:color w:val="000000"/>
          <w:sz w:val="30"/>
          <w:szCs w:val="32"/>
          <w:u w:val="single"/>
        </w:rPr>
        <w:t>。</w:t>
      </w:r>
    </w:p>
    <w:p w14:paraId="44256EF7">
      <w:pPr>
        <w:spacing w:after="120" w:line="360" w:lineRule="auto"/>
        <w:ind w:firstLine="600" w:firstLineChars="200"/>
        <w:outlineLvl w:val="0"/>
        <w:rPr>
          <w:rFonts w:ascii="Times New Roman" w:hAnsi="Times New Roman" w:eastAsia="黑体"/>
          <w:color w:val="000000"/>
          <w:sz w:val="30"/>
          <w:szCs w:val="32"/>
        </w:rPr>
      </w:pPr>
      <w:bookmarkStart w:id="919" w:name="_Toc22381"/>
      <w:r>
        <w:rPr>
          <w:rFonts w:ascii="Times New Roman" w:hAnsi="Times New Roman" w:eastAsia="黑体"/>
          <w:color w:val="000000"/>
          <w:sz w:val="30"/>
          <w:szCs w:val="32"/>
        </w:rPr>
        <w:t>15.3 质量保证金</w:t>
      </w:r>
      <w:bookmarkEnd w:id="919"/>
    </w:p>
    <w:p w14:paraId="69602EF9">
      <w:pPr>
        <w:spacing w:line="360" w:lineRule="auto"/>
        <w:ind w:firstLine="600" w:firstLineChars="200"/>
        <w:jc w:val="left"/>
        <w:rPr>
          <w:rFonts w:eastAsia="仿宋_GB2312"/>
          <w:color w:val="000000"/>
          <w:sz w:val="30"/>
          <w:szCs w:val="32"/>
        </w:rPr>
      </w:pPr>
      <w:r>
        <w:rPr>
          <w:rFonts w:hint="eastAsia" w:ascii="Times New Roman" w:hAnsi="Times New Roman" w:eastAsia="仿宋_GB2312"/>
          <w:color w:val="000000"/>
          <w:sz w:val="30"/>
          <w:szCs w:val="32"/>
        </w:rPr>
        <w:t>关于是否扣留质量保证金的约定：</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扣留质量保证金</w:t>
      </w:r>
      <w:r>
        <w:rPr>
          <w:rFonts w:ascii="Times New Roman" w:hAnsi="Times New Roman" w:eastAsia="仿宋_GB2312"/>
          <w:color w:val="000000"/>
          <w:sz w:val="30"/>
          <w:szCs w:val="32"/>
        </w:rPr>
        <w:t>。</w:t>
      </w:r>
      <w:r>
        <w:rPr>
          <w:rFonts w:hint="eastAsia" w:eastAsia="仿宋_GB2312"/>
          <w:color w:val="000000"/>
          <w:sz w:val="30"/>
          <w:szCs w:val="32"/>
        </w:rPr>
        <w:t>在工程项目竣工前，承包人按专用合同条款第3.7条提供履约担保的，发包人不得同时预留工程质量保证金。</w:t>
      </w:r>
    </w:p>
    <w:p w14:paraId="78424648">
      <w:pPr>
        <w:spacing w:line="360" w:lineRule="auto"/>
        <w:ind w:firstLine="600" w:firstLineChars="200"/>
        <w:jc w:val="left"/>
        <w:rPr>
          <w:rFonts w:hint="eastAsia" w:ascii="Times New Roman" w:hAnsi="Times New Roman" w:eastAsia="仿宋_GB2312"/>
          <w:color w:val="000000"/>
          <w:sz w:val="30"/>
          <w:szCs w:val="32"/>
        </w:rPr>
      </w:pPr>
    </w:p>
    <w:p w14:paraId="011A28E8">
      <w:pPr>
        <w:spacing w:line="360" w:lineRule="auto"/>
        <w:ind w:firstLine="600" w:firstLineChars="200"/>
        <w:jc w:val="left"/>
        <w:outlineLvl w:val="0"/>
        <w:rPr>
          <w:rFonts w:ascii="Times New Roman" w:hAnsi="Times New Roman" w:eastAsia="仿宋_GB2312"/>
          <w:color w:val="000000"/>
          <w:sz w:val="30"/>
          <w:szCs w:val="32"/>
        </w:rPr>
      </w:pPr>
      <w:bookmarkStart w:id="920" w:name="_Toc6000"/>
      <w:r>
        <w:rPr>
          <w:rFonts w:ascii="Times New Roman" w:hAnsi="Times New Roman" w:eastAsia="仿宋_GB2312"/>
          <w:color w:val="000000"/>
          <w:sz w:val="30"/>
          <w:szCs w:val="32"/>
        </w:rPr>
        <w:t xml:space="preserve">15.3.1 </w:t>
      </w:r>
      <w:r>
        <w:rPr>
          <w:rFonts w:hint="eastAsia" w:ascii="Times New Roman" w:hAnsi="Times New Roman" w:eastAsia="仿宋_GB2312"/>
          <w:color w:val="000000"/>
          <w:sz w:val="30"/>
          <w:szCs w:val="32"/>
        </w:rPr>
        <w:t>承包人提供</w:t>
      </w:r>
      <w:r>
        <w:rPr>
          <w:rFonts w:ascii="Times New Roman" w:hAnsi="Times New Roman" w:eastAsia="仿宋_GB2312"/>
          <w:color w:val="000000"/>
          <w:sz w:val="30"/>
          <w:szCs w:val="32"/>
        </w:rPr>
        <w:t>质量保证金的</w:t>
      </w:r>
      <w:r>
        <w:rPr>
          <w:rFonts w:hint="eastAsia" w:ascii="Times New Roman" w:hAnsi="Times New Roman" w:eastAsia="仿宋_GB2312"/>
          <w:color w:val="000000"/>
          <w:sz w:val="30"/>
          <w:szCs w:val="32"/>
        </w:rPr>
        <w:t>方</w:t>
      </w:r>
      <w:r>
        <w:rPr>
          <w:rFonts w:ascii="Times New Roman" w:hAnsi="Times New Roman" w:eastAsia="仿宋_GB2312"/>
          <w:color w:val="000000"/>
          <w:sz w:val="30"/>
          <w:szCs w:val="32"/>
        </w:rPr>
        <w:t>式</w:t>
      </w:r>
      <w:bookmarkEnd w:id="920"/>
    </w:p>
    <w:p w14:paraId="67A0CF9C">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质量保证金采用以下第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u w:val="single"/>
        </w:rPr>
        <w:t>（2）</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14:paraId="676C732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（1）质量保证金保函，保证金额为：</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 xml:space="preserve">； </w:t>
      </w:r>
    </w:p>
    <w:p w14:paraId="05C3981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3</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%的工程款；</w:t>
      </w:r>
    </w:p>
    <w:p w14:paraId="40243B30">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7D854A29">
      <w:pPr>
        <w:spacing w:line="360" w:lineRule="auto"/>
        <w:ind w:firstLine="600" w:firstLineChars="200"/>
        <w:jc w:val="left"/>
        <w:outlineLvl w:val="0"/>
        <w:rPr>
          <w:rFonts w:ascii="Times New Roman" w:hAnsi="Times New Roman" w:eastAsia="仿宋_GB2312"/>
          <w:color w:val="000000"/>
          <w:sz w:val="30"/>
          <w:szCs w:val="32"/>
        </w:rPr>
      </w:pPr>
      <w:bookmarkStart w:id="921" w:name="_Toc16336"/>
      <w:r>
        <w:rPr>
          <w:rFonts w:ascii="Times New Roman" w:hAnsi="Times New Roman" w:eastAsia="仿宋_GB2312"/>
          <w:color w:val="000000"/>
          <w:sz w:val="30"/>
          <w:szCs w:val="32"/>
        </w:rPr>
        <w:t>15.3.2 质量保证金的扣留</w:t>
      </w:r>
      <w:bookmarkEnd w:id="921"/>
      <w:r>
        <w:rPr>
          <w:rFonts w:ascii="Times New Roman" w:hAnsi="Times New Roman" w:eastAsia="仿宋_GB2312"/>
          <w:color w:val="000000"/>
          <w:sz w:val="30"/>
          <w:szCs w:val="32"/>
        </w:rPr>
        <w:t xml:space="preserve"> </w:t>
      </w:r>
    </w:p>
    <w:p w14:paraId="42661C11">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质量保证金的扣留采取以下第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u w:val="single"/>
        </w:rPr>
        <w:t>（2）</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14:paraId="40FADA6F">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（1）在支付工程进度款时逐次扣留，在此情形下，质量保证金的计算基数不包括预付款的支付、扣回以及价格调整的金额；</w:t>
      </w:r>
    </w:p>
    <w:p w14:paraId="65AA609E">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bookmarkStart w:id="922" w:name="_Toc30376"/>
      <w:r>
        <w:rPr>
          <w:rFonts w:ascii="Times New Roman" w:hAnsi="Times New Roman" w:eastAsia="仿宋_GB2312"/>
          <w:color w:val="000000"/>
          <w:kern w:val="0"/>
          <w:sz w:val="30"/>
          <w:szCs w:val="32"/>
        </w:rPr>
        <w:t>（2）工程竣工结算时一次性扣留质量保证金；</w:t>
      </w:r>
      <w:bookmarkEnd w:id="922"/>
    </w:p>
    <w:p w14:paraId="76ECF55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（3）其他扣留方式: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7B8E2FAB">
      <w:pPr>
        <w:spacing w:line="360" w:lineRule="auto"/>
        <w:ind w:firstLine="600" w:firstLineChars="200"/>
        <w:jc w:val="left"/>
        <w:rPr>
          <w:rFonts w:hint="eastAsia" w:ascii="Times New Roman" w:hAnsi="Times New Roman" w:eastAsia="仿宋_GB2312"/>
          <w:color w:val="000000"/>
          <w:kern w:val="0"/>
          <w:sz w:val="30"/>
          <w:szCs w:val="32"/>
          <w:u w:val="single"/>
        </w:rPr>
      </w:pPr>
      <w:r>
        <w:rPr>
          <w:rFonts w:ascii="Times New Roman" w:hAnsi="Times New Roman" w:eastAsia="仿宋_GB2312"/>
          <w:color w:val="000000"/>
          <w:sz w:val="30"/>
          <w:szCs w:val="32"/>
        </w:rPr>
        <w:t>关于质量保证金的补充约定：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14:paraId="7C0B983E">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bookmarkEnd w:id="890"/>
    <w:bookmarkEnd w:id="891"/>
    <w:p w14:paraId="6FF57D36">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15.4保修</w:t>
      </w:r>
    </w:p>
    <w:bookmarkEnd w:id="892"/>
    <w:p w14:paraId="49C9BBF2">
      <w:pPr>
        <w:spacing w:line="360" w:lineRule="auto"/>
        <w:ind w:firstLine="585" w:firstLineChars="195"/>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15.4.1 保修责任</w:t>
      </w:r>
    </w:p>
    <w:p w14:paraId="7F3F73FF">
      <w:pPr>
        <w:spacing w:line="360" w:lineRule="auto"/>
        <w:ind w:firstLine="585" w:firstLineChars="195"/>
        <w:jc w:val="left"/>
        <w:rPr>
          <w:rFonts w:hint="eastAsia" w:ascii="Times New Roman" w:hAnsi="Times New Roman" w:eastAsia="仿宋_GB2312" w:cs="Times New Roman"/>
          <w:color w:val="000000"/>
          <w:kern w:val="0"/>
          <w:sz w:val="30"/>
          <w:szCs w:val="32"/>
          <w:highlight w:val="none"/>
          <w:u w:val="single"/>
        </w:rPr>
      </w:pPr>
      <w:r>
        <w:rPr>
          <w:rFonts w:hint="eastAsia" w:ascii="Times New Roman" w:hAnsi="Times New Roman" w:eastAsia="仿宋_GB2312" w:cs="Times New Roman"/>
          <w:color w:val="000000"/>
          <w:kern w:val="0"/>
          <w:sz w:val="30"/>
          <w:szCs w:val="32"/>
          <w:highlight w:val="none"/>
          <w:u w:val="single"/>
        </w:rPr>
        <w:t>工程保修期为：</w:t>
      </w:r>
      <w:bookmarkStart w:id="923" w:name="_Hlk524381274"/>
      <w:r>
        <w:rPr>
          <w:rFonts w:hint="eastAsia" w:ascii="Times New Roman" w:hAnsi="Times New Roman" w:eastAsia="仿宋_GB2312" w:cs="Times New Roman"/>
          <w:color w:val="000000"/>
          <w:kern w:val="0"/>
          <w:sz w:val="30"/>
          <w:szCs w:val="32"/>
          <w:highlight w:val="none"/>
          <w:u w:val="single"/>
        </w:rPr>
        <w:t>按照附件</w:t>
      </w:r>
      <w:r>
        <w:rPr>
          <w:rFonts w:hint="eastAsia" w:ascii="Times New Roman" w:hAnsi="Times New Roman" w:eastAsia="仿宋_GB2312" w:cs="Times New Roman"/>
          <w:color w:val="000000"/>
          <w:kern w:val="0"/>
          <w:sz w:val="30"/>
          <w:szCs w:val="32"/>
          <w:highlight w:val="none"/>
          <w:u w:val="single"/>
          <w:lang w:val="en-US" w:eastAsia="zh-CN"/>
        </w:rPr>
        <w:t>3</w:t>
      </w:r>
      <w:r>
        <w:rPr>
          <w:rFonts w:hint="eastAsia" w:ascii="Times New Roman" w:hAnsi="Times New Roman" w:eastAsia="仿宋_GB2312" w:cs="Times New Roman"/>
          <w:color w:val="000000"/>
          <w:kern w:val="0"/>
          <w:sz w:val="30"/>
          <w:szCs w:val="32"/>
          <w:highlight w:val="none"/>
          <w:u w:val="single"/>
        </w:rPr>
        <w:t>《工程质量保修书》的规定执行。</w:t>
      </w:r>
      <w:bookmarkEnd w:id="923"/>
    </w:p>
    <w:p w14:paraId="33C85FB0">
      <w:pPr>
        <w:spacing w:line="360" w:lineRule="auto"/>
        <w:ind w:firstLine="585" w:firstLineChars="195"/>
        <w:jc w:val="left"/>
        <w:rPr>
          <w:rFonts w:ascii="Times New Roman" w:hAnsi="Times New Roman" w:eastAsia="仿宋_GB2312"/>
          <w:color w:val="000000"/>
          <w:sz w:val="30"/>
          <w:szCs w:val="32"/>
        </w:rPr>
      </w:pPr>
      <w:r>
        <w:rPr>
          <w:rFonts w:ascii="Times New Roman" w:hAnsi="Times New Roman" w:eastAsia="仿宋_GB2312"/>
          <w:color w:val="000000"/>
          <w:sz w:val="30"/>
          <w:szCs w:val="32"/>
        </w:rPr>
        <w:t>15.4.3 修复通知</w:t>
      </w:r>
    </w:p>
    <w:p w14:paraId="3AFE30E3">
      <w:pPr>
        <w:spacing w:line="360" w:lineRule="auto"/>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承包人收到保修通知并到达工程现场的合理时间：</w:t>
      </w:r>
      <w:r>
        <w:rPr>
          <w:rFonts w:hint="eastAsia" w:ascii="Times New Roman" w:hAnsi="Times New Roman" w:eastAsia="仿宋_GB2312"/>
          <w:color w:val="000000"/>
          <w:kern w:val="0"/>
          <w:sz w:val="30"/>
          <w:szCs w:val="32"/>
          <w:u w:val="single"/>
        </w:rPr>
        <w:t>水、电5小时；土建、装修24小时，若时限内承包人未到现场处理，发包人有权另行委托维修人员进行维修，费用由承包人承担，从质量保修金中扣除。</w:t>
      </w:r>
    </w:p>
    <w:bookmarkEnd w:id="893"/>
    <w:bookmarkEnd w:id="894"/>
    <w:bookmarkEnd w:id="895"/>
    <w:bookmarkEnd w:id="896"/>
    <w:p w14:paraId="48E6EEE5">
      <w:pPr>
        <w:pStyle w:val="7"/>
        <w:spacing w:before="120" w:after="120" w:line="360" w:lineRule="auto"/>
        <w:rPr>
          <w:rFonts w:ascii="Times New Roman" w:hAnsi="Times New Roman" w:eastAsia="黑体"/>
          <w:b w:val="0"/>
          <w:color w:val="000000"/>
          <w:sz w:val="32"/>
          <w:szCs w:val="32"/>
        </w:rPr>
      </w:pPr>
      <w:bookmarkStart w:id="924" w:name="_Toc351203648"/>
      <w:bookmarkStart w:id="925" w:name="_Toc280868717"/>
      <w:bookmarkStart w:id="926" w:name="_Toc280868718"/>
      <w:r>
        <w:rPr>
          <w:rFonts w:ascii="Times New Roman" w:hAnsi="Times New Roman" w:eastAsia="黑体"/>
          <w:b w:val="0"/>
          <w:color w:val="000000"/>
          <w:sz w:val="32"/>
          <w:szCs w:val="32"/>
        </w:rPr>
        <w:t>16. 违约</w:t>
      </w:r>
      <w:bookmarkEnd w:id="924"/>
    </w:p>
    <w:p w14:paraId="218B90E7">
      <w:pPr>
        <w:spacing w:after="120" w:line="360" w:lineRule="auto"/>
        <w:ind w:firstLine="600" w:firstLineChars="200"/>
        <w:outlineLvl w:val="0"/>
        <w:rPr>
          <w:rFonts w:ascii="Times New Roman" w:hAnsi="Times New Roman" w:eastAsia="黑体"/>
          <w:color w:val="000000"/>
          <w:sz w:val="30"/>
          <w:szCs w:val="32"/>
        </w:rPr>
      </w:pPr>
      <w:bookmarkStart w:id="927" w:name="_Toc18093"/>
      <w:r>
        <w:rPr>
          <w:rFonts w:ascii="Times New Roman" w:hAnsi="Times New Roman" w:eastAsia="黑体"/>
          <w:color w:val="000000"/>
          <w:sz w:val="30"/>
          <w:szCs w:val="32"/>
        </w:rPr>
        <w:t>16.1 发包人违约</w:t>
      </w:r>
      <w:bookmarkEnd w:id="927"/>
    </w:p>
    <w:p w14:paraId="22C79D18">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16.1.1发包人违约的情形</w:t>
      </w:r>
    </w:p>
    <w:p w14:paraId="162EDCAD">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发包人违约的其他情形：</w:t>
      </w:r>
    </w:p>
    <w:p w14:paraId="3D2C69C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除通用合同条件约定外，发包人违约的其他情形：</w:t>
      </w:r>
    </w:p>
    <w:p w14:paraId="1260800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 发包人提供的材料、工程设备的规格、数量或质量不符合合同约定，或因发包人原因导致交货日期延误或交货地点变更等情况的；</w:t>
      </w:r>
    </w:p>
    <w:p w14:paraId="79D206F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(2)因发包人原因导致工期延误的；</w:t>
      </w:r>
    </w:p>
    <w:p w14:paraId="19E4AEB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(3)因发包人原因未能及时办理完毕合同约定的许可、批准或备案的；</w:t>
      </w:r>
    </w:p>
    <w:p w14:paraId="4CA34EE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(4)因监理人未能按合同约定发出指示、指示延误或发出了错误指示而导致承包人费用增加和（或）工期延误的；</w:t>
      </w:r>
    </w:p>
    <w:p w14:paraId="1C2F9CB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 发包人或监理人要求重新检查的，经检查证明工程质量符合合同要求的，并由此产生增加的费用和（或）延误的工期的；</w:t>
      </w:r>
    </w:p>
    <w:p w14:paraId="2B5B0EB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(6)因发包人原因造成工程质量未达到合同约定标准的；</w:t>
      </w:r>
    </w:p>
    <w:p w14:paraId="373C6B6E">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(7)由于发包人原因对承包人造成的人员人身伤亡和财产损失的；</w:t>
      </w:r>
    </w:p>
    <w:p w14:paraId="27F527E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(8)因发包人原因导致工程无法按期办理竣工验收或竣工结算的；</w:t>
      </w:r>
    </w:p>
    <w:p w14:paraId="0892EF19">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(9）发包人无正当理由未按约定退还履约担保、低价风险担保、预付款担保或质量保证金的；</w:t>
      </w:r>
    </w:p>
    <w:p w14:paraId="208F6D1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(10)发包人不当提取履约担保、低价风险担保、预付款担保或质量保证金的；</w:t>
      </w:r>
    </w:p>
    <w:p w14:paraId="1E94DFD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(11)发包人未按合同约定接收全部或部分工作的；</w:t>
      </w:r>
    </w:p>
    <w:p w14:paraId="6D89C01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(12)发包人未按合同约定办理保险的；</w:t>
      </w:r>
    </w:p>
    <w:p w14:paraId="2BCE498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 xml:space="preserve">(13)其他：  /  。   </w:t>
      </w:r>
    </w:p>
    <w:p w14:paraId="5A3C1388">
      <w:pPr>
        <w:spacing w:line="360" w:lineRule="auto"/>
        <w:ind w:left="1500" w:hanging="1500" w:hangingChars="5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16.1.2 发包人违约的责任</w:t>
      </w:r>
    </w:p>
    <w:p w14:paraId="3BB967EF">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发包人违约责任的承担方式和计算方法：</w:t>
      </w:r>
    </w:p>
    <w:p w14:paraId="389062AF">
      <w:pPr>
        <w:spacing w:line="360" w:lineRule="auto"/>
        <w:ind w:firstLine="600" w:firstLineChars="200"/>
        <w:jc w:val="left"/>
        <w:rPr>
          <w:rFonts w:ascii="Times New Roman" w:hAnsi="Times New Roman" w:eastAsia="仿宋_GB2312"/>
          <w:color w:val="auto"/>
          <w:kern w:val="0"/>
          <w:sz w:val="30"/>
          <w:szCs w:val="32"/>
        </w:rPr>
      </w:pPr>
      <w:r>
        <w:rPr>
          <w:rFonts w:ascii="Times New Roman" w:hAnsi="Times New Roman" w:eastAsia="仿宋_GB2312"/>
          <w:color w:val="auto"/>
          <w:kern w:val="0"/>
          <w:sz w:val="30"/>
          <w:szCs w:val="32"/>
        </w:rPr>
        <w:t>（</w:t>
      </w:r>
      <w:r>
        <w:rPr>
          <w:rFonts w:hint="eastAsia" w:eastAsia="仿宋_GB2312"/>
          <w:color w:val="auto"/>
          <w:kern w:val="0"/>
          <w:sz w:val="30"/>
          <w:szCs w:val="32"/>
          <w:lang w:val="en-US" w:eastAsia="zh-CN"/>
        </w:rPr>
        <w:t>1</w:t>
      </w:r>
      <w:r>
        <w:rPr>
          <w:rFonts w:ascii="Times New Roman" w:hAnsi="Times New Roman" w:eastAsia="仿宋_GB2312"/>
          <w:color w:val="auto"/>
          <w:kern w:val="0"/>
          <w:sz w:val="30"/>
          <w:szCs w:val="32"/>
        </w:rPr>
        <w:t>）发包人违反第10.1款</w:t>
      </w:r>
      <w:r>
        <w:rPr>
          <w:rFonts w:hint="eastAsia" w:ascii="Times New Roman" w:hAnsi="Times New Roman" w:eastAsia="仿宋_GB2312"/>
          <w:color w:val="auto"/>
          <w:kern w:val="0"/>
          <w:sz w:val="30"/>
          <w:szCs w:val="32"/>
        </w:rPr>
        <w:t>〔</w:t>
      </w:r>
      <w:r>
        <w:rPr>
          <w:rFonts w:ascii="Times New Roman" w:hAnsi="Times New Roman" w:eastAsia="仿宋_GB2312"/>
          <w:color w:val="auto"/>
          <w:kern w:val="0"/>
          <w:sz w:val="30"/>
          <w:szCs w:val="32"/>
        </w:rPr>
        <w:t>变更的范围</w:t>
      </w:r>
      <w:r>
        <w:rPr>
          <w:rFonts w:hint="eastAsia" w:ascii="Times New Roman" w:hAnsi="Times New Roman" w:eastAsia="仿宋_GB2312"/>
          <w:color w:val="auto"/>
          <w:kern w:val="0"/>
          <w:sz w:val="30"/>
          <w:szCs w:val="32"/>
        </w:rPr>
        <w:t>〕</w:t>
      </w:r>
      <w:r>
        <w:rPr>
          <w:rFonts w:ascii="Times New Roman" w:hAnsi="Times New Roman" w:eastAsia="仿宋_GB2312"/>
          <w:color w:val="auto"/>
          <w:kern w:val="0"/>
          <w:sz w:val="30"/>
          <w:szCs w:val="32"/>
        </w:rPr>
        <w:t>第（2）项约定，自行实施被取消的工作或转由他人实施的违约责任：</w:t>
      </w:r>
      <w:r>
        <w:rPr>
          <w:rFonts w:hint="eastAsia" w:ascii="Times New Roman" w:hAnsi="Times New Roman" w:eastAsia="仿宋_GB2312"/>
          <w:color w:val="auto"/>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auto"/>
          <w:kern w:val="0"/>
          <w:sz w:val="30"/>
          <w:szCs w:val="32"/>
          <w:u w:val="single"/>
        </w:rPr>
        <w:t>。</w:t>
      </w:r>
      <w:r>
        <w:rPr>
          <w:rFonts w:ascii="Times New Roman" w:hAnsi="Times New Roman" w:eastAsia="仿宋_GB2312"/>
          <w:color w:val="auto"/>
          <w:kern w:val="0"/>
          <w:sz w:val="30"/>
          <w:szCs w:val="32"/>
        </w:rPr>
        <w:t>。</w:t>
      </w:r>
    </w:p>
    <w:p w14:paraId="67C55921">
      <w:pPr>
        <w:spacing w:line="360" w:lineRule="auto"/>
        <w:ind w:firstLine="600" w:firstLineChars="200"/>
        <w:jc w:val="left"/>
        <w:rPr>
          <w:rFonts w:ascii="Times New Roman" w:hAnsi="Times New Roman" w:eastAsia="仿宋_GB2312"/>
          <w:color w:val="auto"/>
          <w:kern w:val="0"/>
          <w:sz w:val="30"/>
          <w:szCs w:val="32"/>
        </w:rPr>
      </w:pPr>
      <w:r>
        <w:rPr>
          <w:rFonts w:ascii="Times New Roman" w:hAnsi="Times New Roman" w:eastAsia="仿宋_GB2312"/>
          <w:color w:val="auto"/>
          <w:kern w:val="0"/>
          <w:sz w:val="30"/>
          <w:szCs w:val="32"/>
        </w:rPr>
        <w:t>（</w:t>
      </w:r>
      <w:r>
        <w:rPr>
          <w:rFonts w:hint="eastAsia" w:eastAsia="仿宋_GB2312"/>
          <w:color w:val="auto"/>
          <w:kern w:val="0"/>
          <w:sz w:val="30"/>
          <w:szCs w:val="32"/>
          <w:lang w:val="en-US" w:eastAsia="zh-CN"/>
        </w:rPr>
        <w:t>2</w:t>
      </w:r>
      <w:r>
        <w:rPr>
          <w:rFonts w:ascii="Times New Roman" w:hAnsi="Times New Roman" w:eastAsia="仿宋_GB2312"/>
          <w:color w:val="auto"/>
          <w:kern w:val="0"/>
          <w:sz w:val="30"/>
          <w:szCs w:val="32"/>
        </w:rPr>
        <w:t>）发包人提供的材料、工程设备的规格、数量或质量不符合合同约定，或因发包人原因导致交货日期延误或交货地点变更等情况的违约责任：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auto"/>
          <w:kern w:val="0"/>
          <w:sz w:val="30"/>
          <w:szCs w:val="32"/>
          <w:u w:val="single"/>
        </w:rPr>
        <w:t>。</w:t>
      </w:r>
    </w:p>
    <w:p w14:paraId="63ED990D">
      <w:pPr>
        <w:spacing w:line="360" w:lineRule="auto"/>
        <w:ind w:firstLine="600" w:firstLineChars="200"/>
        <w:jc w:val="left"/>
        <w:rPr>
          <w:rFonts w:ascii="Times New Roman" w:hAnsi="Times New Roman" w:eastAsia="仿宋_GB2312"/>
          <w:color w:val="auto"/>
          <w:kern w:val="0"/>
          <w:sz w:val="30"/>
          <w:szCs w:val="32"/>
        </w:rPr>
      </w:pPr>
      <w:r>
        <w:rPr>
          <w:rFonts w:ascii="Times New Roman" w:hAnsi="Times New Roman" w:eastAsia="仿宋_GB2312"/>
          <w:color w:val="auto"/>
          <w:kern w:val="0"/>
          <w:sz w:val="30"/>
          <w:szCs w:val="32"/>
        </w:rPr>
        <w:t>（</w:t>
      </w:r>
      <w:r>
        <w:rPr>
          <w:rFonts w:hint="eastAsia" w:eastAsia="仿宋_GB2312"/>
          <w:color w:val="auto"/>
          <w:kern w:val="0"/>
          <w:sz w:val="30"/>
          <w:szCs w:val="32"/>
          <w:lang w:val="en-US" w:eastAsia="zh-CN"/>
        </w:rPr>
        <w:t>3</w:t>
      </w:r>
      <w:r>
        <w:rPr>
          <w:rFonts w:ascii="Times New Roman" w:hAnsi="Times New Roman" w:eastAsia="仿宋_GB2312"/>
          <w:color w:val="auto"/>
          <w:kern w:val="0"/>
          <w:sz w:val="30"/>
          <w:szCs w:val="32"/>
        </w:rPr>
        <w:t>）因发包人违反合同约定造成暂停施工的违约责任：</w:t>
      </w:r>
      <w:r>
        <w:rPr>
          <w:rFonts w:hint="eastAsia" w:ascii="Times New Roman" w:hAnsi="Times New Roman" w:eastAsia="仿宋_GB2312"/>
          <w:color w:val="auto"/>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auto"/>
          <w:kern w:val="0"/>
          <w:sz w:val="30"/>
          <w:szCs w:val="32"/>
          <w:u w:val="single"/>
        </w:rPr>
        <w:t>。</w:t>
      </w:r>
      <w:r>
        <w:rPr>
          <w:rFonts w:ascii="Times New Roman" w:hAnsi="Times New Roman" w:eastAsia="仿宋_GB2312"/>
          <w:color w:val="auto"/>
          <w:kern w:val="0"/>
          <w:sz w:val="30"/>
          <w:szCs w:val="32"/>
        </w:rPr>
        <w:t>。</w:t>
      </w:r>
    </w:p>
    <w:p w14:paraId="658F77D4">
      <w:pPr>
        <w:spacing w:line="360" w:lineRule="auto"/>
        <w:ind w:firstLine="600" w:firstLineChars="200"/>
        <w:jc w:val="left"/>
        <w:rPr>
          <w:rFonts w:ascii="Times New Roman" w:hAnsi="Times New Roman" w:eastAsia="仿宋_GB2312"/>
          <w:color w:val="auto"/>
          <w:kern w:val="0"/>
          <w:sz w:val="30"/>
          <w:szCs w:val="32"/>
        </w:rPr>
      </w:pPr>
      <w:r>
        <w:rPr>
          <w:rFonts w:ascii="Times New Roman" w:hAnsi="Times New Roman" w:eastAsia="仿宋_GB2312"/>
          <w:color w:val="auto"/>
          <w:kern w:val="0"/>
          <w:sz w:val="30"/>
          <w:szCs w:val="32"/>
        </w:rPr>
        <w:t>（</w:t>
      </w:r>
      <w:r>
        <w:rPr>
          <w:rFonts w:hint="eastAsia" w:eastAsia="仿宋_GB2312"/>
          <w:color w:val="auto"/>
          <w:kern w:val="0"/>
          <w:sz w:val="30"/>
          <w:szCs w:val="32"/>
          <w:lang w:val="en-US" w:eastAsia="zh-CN"/>
        </w:rPr>
        <w:t>4</w:t>
      </w:r>
      <w:r>
        <w:rPr>
          <w:rFonts w:ascii="Times New Roman" w:hAnsi="Times New Roman" w:eastAsia="仿宋_GB2312"/>
          <w:color w:val="auto"/>
          <w:kern w:val="0"/>
          <w:sz w:val="30"/>
          <w:szCs w:val="32"/>
        </w:rPr>
        <w:t>）发包人无正当理由没有在约定期限内发出复工指示，导致承包人无法复工的违约责任：</w:t>
      </w:r>
      <w:r>
        <w:rPr>
          <w:rFonts w:hint="eastAsia" w:ascii="Times New Roman" w:hAnsi="Times New Roman" w:eastAsia="仿宋_GB2312"/>
          <w:color w:val="auto"/>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auto"/>
          <w:kern w:val="0"/>
          <w:sz w:val="30"/>
          <w:szCs w:val="32"/>
          <w:u w:val="single"/>
        </w:rPr>
        <w:t>。</w:t>
      </w:r>
      <w:r>
        <w:rPr>
          <w:rFonts w:ascii="Times New Roman" w:hAnsi="Times New Roman" w:eastAsia="仿宋_GB2312"/>
          <w:color w:val="auto"/>
          <w:kern w:val="0"/>
          <w:sz w:val="30"/>
          <w:szCs w:val="32"/>
        </w:rPr>
        <w:t>。</w:t>
      </w:r>
    </w:p>
    <w:p w14:paraId="0E94ADE2">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auto"/>
          <w:kern w:val="0"/>
          <w:sz w:val="30"/>
          <w:szCs w:val="32"/>
        </w:rPr>
        <w:t>（</w:t>
      </w:r>
      <w:r>
        <w:rPr>
          <w:rFonts w:hint="eastAsia" w:eastAsia="仿宋_GB2312"/>
          <w:color w:val="auto"/>
          <w:kern w:val="0"/>
          <w:sz w:val="30"/>
          <w:szCs w:val="32"/>
          <w:lang w:val="en-US" w:eastAsia="zh-CN"/>
        </w:rPr>
        <w:t>5</w:t>
      </w:r>
      <w:r>
        <w:rPr>
          <w:rFonts w:ascii="Times New Roman" w:hAnsi="Times New Roman" w:eastAsia="仿宋_GB2312"/>
          <w:color w:val="auto"/>
          <w:kern w:val="0"/>
          <w:sz w:val="30"/>
          <w:szCs w:val="32"/>
        </w:rPr>
        <w:t>）</w:t>
      </w:r>
      <w:r>
        <w:rPr>
          <w:rFonts w:hint="eastAsia" w:ascii="Times New Roman" w:hAnsi="Times New Roman" w:eastAsia="仿宋_GB2312"/>
          <w:color w:val="auto"/>
          <w:kern w:val="0"/>
          <w:sz w:val="30"/>
          <w:szCs w:val="32"/>
        </w:rPr>
        <w:t>其他：</w:t>
      </w:r>
      <w:r>
        <w:rPr>
          <w:rFonts w:ascii="Times New Roman" w:hAnsi="Times New Roman" w:eastAsia="仿宋_GB2312"/>
          <w:color w:val="auto"/>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5D520676">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16.1.3 因发包人违约解除合同</w:t>
      </w:r>
    </w:p>
    <w:p w14:paraId="6A83EC1F">
      <w:pPr>
        <w:autoSpaceDE w:val="0"/>
        <w:autoSpaceDN w:val="0"/>
        <w:adjustRightInd w:val="0"/>
        <w:spacing w:line="360" w:lineRule="auto"/>
        <w:ind w:firstLine="600" w:firstLineChars="200"/>
        <w:jc w:val="left"/>
        <w:rPr>
          <w:rFonts w:hint="eastAsia" w:ascii="Times New Roman" w:hAnsi="Times New Roman" w:eastAsia="仿宋_GB2312" w:cs="Times New Roman"/>
          <w:color w:val="000000"/>
          <w:kern w:val="0"/>
          <w:sz w:val="30"/>
          <w:szCs w:val="32"/>
        </w:rPr>
      </w:pPr>
      <w:r>
        <w:rPr>
          <w:rFonts w:hint="eastAsia" w:ascii="Times New Roman" w:hAnsi="Times New Roman" w:eastAsia="仿宋_GB2312" w:cs="Times New Roman"/>
          <w:color w:val="000000"/>
          <w:kern w:val="0"/>
          <w:sz w:val="30"/>
          <w:szCs w:val="32"/>
        </w:rPr>
        <w:t>(1)因发包人原因延迟支付合同价款超过180天的；</w:t>
      </w:r>
    </w:p>
    <w:p w14:paraId="18D178C9">
      <w:pPr>
        <w:autoSpaceDE w:val="0"/>
        <w:autoSpaceDN w:val="0"/>
        <w:adjustRightInd w:val="0"/>
        <w:spacing w:line="360" w:lineRule="auto"/>
        <w:ind w:firstLine="600" w:firstLineChars="200"/>
        <w:jc w:val="left"/>
        <w:rPr>
          <w:rFonts w:hint="eastAsia" w:ascii="Times New Roman" w:hAnsi="Times New Roman" w:eastAsia="仿宋_GB2312" w:cs="Times New Roman"/>
          <w:color w:val="000000"/>
          <w:kern w:val="0"/>
          <w:sz w:val="30"/>
          <w:szCs w:val="32"/>
        </w:rPr>
      </w:pPr>
      <w:r>
        <w:rPr>
          <w:rFonts w:hint="eastAsia" w:ascii="Times New Roman" w:hAnsi="Times New Roman" w:eastAsia="仿宋_GB2312" w:cs="Times New Roman"/>
          <w:color w:val="000000"/>
          <w:kern w:val="0"/>
          <w:sz w:val="30"/>
          <w:szCs w:val="32"/>
        </w:rPr>
        <w:t>(2)因发包人原因导致工期延误超过90天的；</w:t>
      </w:r>
    </w:p>
    <w:p w14:paraId="01084E52">
      <w:pPr>
        <w:autoSpaceDE w:val="0"/>
        <w:autoSpaceDN w:val="0"/>
        <w:adjustRightInd w:val="0"/>
        <w:spacing w:line="360" w:lineRule="auto"/>
        <w:ind w:firstLine="600" w:firstLineChars="200"/>
        <w:jc w:val="left"/>
        <w:rPr>
          <w:rFonts w:hint="eastAsia" w:ascii="Times New Roman" w:hAnsi="Times New Roman" w:eastAsia="仿宋_GB2312" w:cs="Times New Roman"/>
          <w:color w:val="000000"/>
          <w:kern w:val="0"/>
          <w:sz w:val="30"/>
          <w:szCs w:val="32"/>
        </w:rPr>
      </w:pPr>
      <w:r>
        <w:rPr>
          <w:rFonts w:hint="eastAsia" w:ascii="Times New Roman" w:hAnsi="Times New Roman" w:eastAsia="仿宋_GB2312" w:cs="Times New Roman"/>
          <w:color w:val="000000"/>
          <w:kern w:val="0"/>
          <w:sz w:val="30"/>
          <w:szCs w:val="32"/>
        </w:rPr>
        <w:t>(3)因发包人违约导致暂停施工满56天，且发包人仍未纠正其违约行为的；</w:t>
      </w:r>
    </w:p>
    <w:p w14:paraId="37D6E8ED">
      <w:pPr>
        <w:autoSpaceDE w:val="0"/>
        <w:autoSpaceDN w:val="0"/>
        <w:adjustRightInd w:val="0"/>
        <w:spacing w:line="360" w:lineRule="auto"/>
        <w:ind w:firstLine="600" w:firstLineChars="200"/>
        <w:jc w:val="left"/>
        <w:rPr>
          <w:rFonts w:ascii="Times New Roman" w:hAnsi="Times New Roman" w:eastAsia="仿宋_GB2312" w:cs="Times New Roman"/>
          <w:color w:val="000000"/>
          <w:kern w:val="0"/>
          <w:sz w:val="30"/>
          <w:szCs w:val="32"/>
        </w:rPr>
      </w:pPr>
      <w:r>
        <w:rPr>
          <w:rFonts w:hint="eastAsia" w:ascii="Times New Roman" w:hAnsi="Times New Roman" w:eastAsia="仿宋_GB2312" w:cs="Times New Roman"/>
          <w:color w:val="000000"/>
          <w:kern w:val="0"/>
          <w:sz w:val="30"/>
          <w:szCs w:val="32"/>
        </w:rPr>
        <w:t>(4) 其他未履行合同项下的义务构成对合同的实质性违约，并且在收到承包人要求说明其违约并予以补救的通知后56天内仍未补救该实质性违约的。</w:t>
      </w:r>
    </w:p>
    <w:p w14:paraId="6AEBE7F5">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约定暂停施工满</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天后发包人仍不纠正其违约行为并致使合同目的不能实现的，承包人有权解除合同。</w:t>
      </w:r>
    </w:p>
    <w:p w14:paraId="46BD8AEF">
      <w:pPr>
        <w:spacing w:after="120" w:line="360" w:lineRule="auto"/>
        <w:ind w:firstLine="600" w:firstLineChars="200"/>
        <w:outlineLvl w:val="0"/>
        <w:rPr>
          <w:rFonts w:ascii="Times New Roman" w:hAnsi="Times New Roman" w:eastAsia="黑体"/>
          <w:color w:val="000000"/>
          <w:sz w:val="30"/>
          <w:szCs w:val="32"/>
        </w:rPr>
      </w:pPr>
      <w:bookmarkStart w:id="928" w:name="_Toc11175"/>
      <w:r>
        <w:rPr>
          <w:rFonts w:ascii="Times New Roman" w:hAnsi="Times New Roman" w:eastAsia="黑体"/>
          <w:color w:val="000000"/>
          <w:sz w:val="30"/>
          <w:szCs w:val="32"/>
        </w:rPr>
        <w:t>16.2 承包人违约</w:t>
      </w:r>
      <w:bookmarkEnd w:id="928"/>
    </w:p>
    <w:p w14:paraId="45D324E4">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16.2.1 承包人违约的情形</w:t>
      </w:r>
    </w:p>
    <w:p w14:paraId="3DF31029">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承包人违约的其他情形：</w:t>
      </w:r>
    </w:p>
    <w:p w14:paraId="7407AA2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(1)承包人未按合同约定提交履约担保或质量保证金的；</w:t>
      </w:r>
    </w:p>
    <w:p w14:paraId="5D0CFD0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(2)承包人未能按期开始工作的；</w:t>
      </w:r>
    </w:p>
    <w:p w14:paraId="76445893">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 承包人未按投标文件或监理人的要求及时配备称职的主要管理人员，或承包人未按经审定的施工组织设计配备或更换关键施工设备的；</w:t>
      </w:r>
    </w:p>
    <w:p w14:paraId="794B0D6E">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(4)承包人有安全问题或有违反安全管理规章制度情况的；</w:t>
      </w:r>
    </w:p>
    <w:p w14:paraId="3D9F4A3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 承包人在缺陷责任期及保修期内，未能在合理期限对工程缺陷进行修复，或拒绝按发包人要求进行修复的；</w:t>
      </w:r>
    </w:p>
    <w:p w14:paraId="54CEB72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 承包人拖欠其工人或所雇人员工资或报酬，导致其工人或所雇人员向有关部门投诉、控告、检举或以聚集等方式讨要工资或报酬的；</w:t>
      </w:r>
    </w:p>
    <w:p w14:paraId="54BA770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(7) 承包人不配合发包人、监理人及发包人委托的工程造价咨询服务单位结算审核或承包人其他原因导致未按期完成工程竣工结算的；</w:t>
      </w:r>
    </w:p>
    <w:p w14:paraId="467197B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(8)承包人未按合同约定移交全部或部分工作的；</w:t>
      </w:r>
    </w:p>
    <w:p w14:paraId="64B387E9">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(9)承包人未按合同约定购买保险的；</w:t>
      </w:r>
    </w:p>
    <w:p w14:paraId="12982DD0">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(10)工程总承包项目经理或施工负责人若有以下情形，属于承包人违约：</w:t>
      </w:r>
    </w:p>
    <w:p w14:paraId="334117C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1）不按承诺到岗的；</w:t>
      </w:r>
    </w:p>
    <w:p w14:paraId="31D22C3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2）每月在施工现场的天数少于约定天数的；</w:t>
      </w:r>
    </w:p>
    <w:p w14:paraId="44D6210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3）承包人未提交工程总承包项目经理或施工负责人的劳动合同和社会保险证明的；</w:t>
      </w:r>
    </w:p>
    <w:p w14:paraId="1978991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4）未经批准，擅自离开施工现场（超过约定时间）的；</w:t>
      </w:r>
    </w:p>
    <w:p w14:paraId="30A5C36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5）未经批准，擅自变更工程总承包项目经理或施工负责人的；</w:t>
      </w:r>
    </w:p>
    <w:p w14:paraId="74E2158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6）按照渝建发〔2015〕35 号文的要求，施工期间，因在一个记分周期内累计记分达到 12 分，被建设行政主管部门依法责令停止执业的；</w:t>
      </w:r>
    </w:p>
    <w:p w14:paraId="1E24817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7）发包人有正当理由认为工程总承包项目经理或施工负责人不称职/不履职，且承包人在约定时间内不予更换的；</w:t>
      </w:r>
    </w:p>
    <w:p w14:paraId="5B702CD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8）其他双方约定的情形。</w:t>
      </w:r>
    </w:p>
    <w:p w14:paraId="5454B1C3">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(11)施工技术负责人若有以下情形，属于承包人违约：</w:t>
      </w:r>
    </w:p>
    <w:p w14:paraId="01AA376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1）每月在施工现场的天数少于约定天数的；</w:t>
      </w:r>
    </w:p>
    <w:p w14:paraId="48DA955E">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2）承包人未提交施工技术负责人劳动合同和社会保险证明的；</w:t>
      </w:r>
    </w:p>
    <w:p w14:paraId="2F7DF3E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3）未经批准，擅自离开施工现场（超过约定时间）的；</w:t>
      </w:r>
    </w:p>
    <w:p w14:paraId="1F5CD91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4）未经批准，擅自变更施工技术负责人的；</w:t>
      </w:r>
    </w:p>
    <w:p w14:paraId="645C7E1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 发包人有正当理由认为施工技术负责人不称职/不履职，且承包人在约定时间内不予更换的；</w:t>
      </w:r>
    </w:p>
    <w:p w14:paraId="44F195E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6）其他双方约定的情形。</w:t>
      </w:r>
    </w:p>
    <w:p w14:paraId="7EBC256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(12)其他主要管理人员若有以下情形，属于承包人违约：</w:t>
      </w:r>
    </w:p>
    <w:p w14:paraId="442941D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1）承包人未提交人员劳动合同和社会保险证明的；</w:t>
      </w:r>
    </w:p>
    <w:p w14:paraId="1A39893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2）未经批准，施工管理人员擅自离开施工现场（超过约定时间）的；</w:t>
      </w:r>
    </w:p>
    <w:p w14:paraId="0AADAF7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3）未经批准，擅自变更主要管理人员的；</w:t>
      </w:r>
    </w:p>
    <w:p w14:paraId="58FCBE8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4）发包人有正当理由认为主要管理人员不称职/不履职，且承包人在约定时间内不予更换的；</w:t>
      </w:r>
    </w:p>
    <w:p w14:paraId="3493D1C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5）其他双方约定的情形。</w:t>
      </w:r>
    </w:p>
    <w:p w14:paraId="34BF14D9">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(13)其他：    /     。</w:t>
      </w:r>
    </w:p>
    <w:p w14:paraId="485B5210">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16.2.2承包人违约的责任</w:t>
      </w:r>
    </w:p>
    <w:p w14:paraId="204A9A76">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承包人违约责任的承担方式和计算方法：</w:t>
      </w:r>
    </w:p>
    <w:p w14:paraId="2251B52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 承包人未按合同约定提交履约担保或质量保证金的违约责任：承包人应支付违约金，违约金的计算方法：每延误 1 天，承包人按 5000 元/天计算违约金，累计违约金上限： 不超过签约合同价的 3%。</w:t>
      </w:r>
    </w:p>
    <w:p w14:paraId="21F0DDA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 承包人的原因导致的承包人文件、实施和竣工的工程不符合法律法规、工程质量验收标准以及合同约定的违约责任：限期改正，并按照其不符合法律以及合同约定的相应合同金额的5%支付违约金；造成工期延误的，还应承担造成工期延误的违约责任。</w:t>
      </w:r>
    </w:p>
    <w:p w14:paraId="4899CF2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 承包人违反合同约定进行转包或违法分包的违约责任：按照违反合同约定进行转包和（或）违法分包相应转包和（或）分包合同的合同金额的5%支付违约金，违法转/分包商应在7天内撤离出场。</w:t>
      </w:r>
    </w:p>
    <w:p w14:paraId="47C2DB9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 承包人违反合同约定采购和使用不合格的材料和工程设备的违约责任：按照违反合同约定采购和使用不合格的材料和（或）工程设备相应合同金额的  5 %支付违约金。</w:t>
      </w:r>
    </w:p>
    <w:p w14:paraId="0E23F9E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 因承包人原因导致工程质量不符合合同要求的违约责任：承包人退还已支付工程质量不符合合同要求工程的工程款，并按照工程质量不符合合同要求工程相应合同金额的  5%支付违约金。</w:t>
      </w:r>
    </w:p>
    <w:p w14:paraId="27ACDA2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 承包人违反材料与设备的约定，未经批准，擅自将已按合同约定进入施工现场的施工设备、临时设施或材料撤离施工现场的违约责任：按照承包人擅自撤离施工现场施工设备、临时设施或材料相应合同金额的  5%支付违约金。</w:t>
      </w:r>
    </w:p>
    <w:p w14:paraId="24999D91">
      <w:pPr>
        <w:spacing w:line="360" w:lineRule="auto"/>
        <w:ind w:firstLine="600" w:firstLineChars="200"/>
        <w:rPr>
          <w:rFonts w:hint="eastAsia" w:ascii="Times New Roman" w:hAnsi="Times New Roman" w:eastAsia="仿宋_GB2312" w:cs="Times New Roman"/>
          <w:color w:val="000000"/>
          <w:sz w:val="30"/>
          <w:szCs w:val="32"/>
          <w:highlight w:val="none"/>
          <w:u w:val="single"/>
        </w:rPr>
      </w:pPr>
      <w:r>
        <w:rPr>
          <w:rFonts w:hint="eastAsia" w:ascii="Times New Roman" w:hAnsi="Times New Roman" w:eastAsia="仿宋_GB2312" w:cs="Times New Roman"/>
          <w:color w:val="000000"/>
          <w:sz w:val="30"/>
          <w:szCs w:val="32"/>
          <w:u w:val="single"/>
        </w:rPr>
        <w:t>(7) 因承包人原因造成工期延误的违约承担方式和计算方法：由承包人承担由此增加的费用，由此导致工期延误的，工期不予顺延；逾期竣工违约金的计算方法：每延误 1 天，承包人按  5000 元/天计算逾期竣工违约金，累计违约金上限：   万元（不超过签约合同价的 3%） ；承包人支付逾期竣工违约金后，不免除承包人继续完成工程及修补缺陷的义务。</w:t>
      </w:r>
      <w:r>
        <w:rPr>
          <w:rFonts w:hint="eastAsia" w:ascii="Times New Roman" w:hAnsi="Times New Roman" w:eastAsia="仿宋_GB2312" w:cs="Times New Roman"/>
          <w:color w:val="000000"/>
          <w:sz w:val="30"/>
          <w:szCs w:val="32"/>
          <w:highlight w:val="none"/>
          <w:u w:val="single"/>
        </w:rPr>
        <w:t>同时，延误工期造成了发包人的损失，由承包人负责。</w:t>
      </w:r>
    </w:p>
    <w:p w14:paraId="1B7954F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 由于承包人原因未能通过竣工试验或竣工后试验的违约责任：限期改正，并按照整改费用的1%支付违约金；造成工期延误的，还应承担造成工期延误的违约责任。</w:t>
      </w:r>
    </w:p>
    <w:p w14:paraId="3A9A048E">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(9) 承包人在缺陷责任期及保修期内，未能在合理期限对工程缺陷进行修复，或拒绝按发包人指示进行修复的违约责任：按照发包人修复缺陷费用的  0.5%支付违约金。</w:t>
      </w:r>
    </w:p>
    <w:p w14:paraId="0F20BB1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(10)承包人明确表示或者以其行为表明不履行合同主要义务的违约责任：按签约合同价的   5%支付违约金。</w:t>
      </w:r>
    </w:p>
    <w:p w14:paraId="2DE48DC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(11)承包人未能按照合同约定履行其他义务的违约责任：按 500 元/次支付违约金。</w:t>
      </w:r>
    </w:p>
    <w:p w14:paraId="3F5B4CA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(12) 承包人未能按期开始工作的违约责任：按合同价 0.2‰/天支付违约金，本项违约金累计限额为签约合同价的 1 %。</w:t>
      </w:r>
    </w:p>
    <w:p w14:paraId="055B80CE">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(13) 承包人未按经审定的施工组织设计配备或更换关键施工设备的违约责任： 按 5000 元/台 ·次支付违约金。</w:t>
      </w:r>
    </w:p>
    <w:p w14:paraId="65A0C64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(14)承包人有安全问题或有违反安全管理规章制度情况的违约责任：根据具体情节，按签约合同价的 0.5‰/次支付违约金（累计不超过签约合同价的 1%，详见附件</w:t>
      </w:r>
      <w:r>
        <w:rPr>
          <w:rFonts w:hint="eastAsia" w:ascii="Times New Roman" w:hAnsi="Times New Roman" w:eastAsia="仿宋_GB2312" w:cs="Times New Roman"/>
          <w:color w:val="000000"/>
          <w:sz w:val="30"/>
          <w:szCs w:val="32"/>
          <w:u w:val="single"/>
          <w:lang w:val="en-US" w:eastAsia="zh-CN"/>
        </w:rPr>
        <w:t>4</w:t>
      </w:r>
      <w:r>
        <w:rPr>
          <w:rFonts w:hint="eastAsia" w:ascii="Times New Roman" w:hAnsi="Times New Roman" w:eastAsia="仿宋_GB2312" w:cs="Times New Roman"/>
          <w:color w:val="000000"/>
          <w:sz w:val="30"/>
          <w:szCs w:val="32"/>
          <w:u w:val="single"/>
        </w:rPr>
        <w:t>安全管理协议）。</w:t>
      </w:r>
    </w:p>
    <w:p w14:paraId="60976F33">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(15)承包人拖欠其工人或所雇人员工资或报酬，导致其工人或所雇人员向有关部门投诉、控告、检举或以聚集等方式讨要工资或报酬的违约责任：根据具体情节，按违约金额 5000 元/次支付违约金。</w:t>
      </w:r>
    </w:p>
    <w:p w14:paraId="701B6BB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(16)承包人不配合发包人、监理人及发包人委托的工程造价咨询服务单位结算审核的违约责任</w:t>
      </w:r>
      <w:r>
        <w:rPr>
          <w:rFonts w:hint="eastAsia" w:ascii="Times New Roman" w:hAnsi="Times New Roman" w:eastAsia="仿宋_GB2312" w:cs="Times New Roman"/>
          <w:color w:val="000000"/>
          <w:sz w:val="30"/>
          <w:szCs w:val="32"/>
          <w:u w:val="single"/>
          <w:lang w:eastAsia="zh-CN"/>
        </w:rPr>
        <w:t>，</w:t>
      </w:r>
      <w:r>
        <w:rPr>
          <w:rFonts w:hint="eastAsia" w:ascii="Times New Roman" w:hAnsi="Times New Roman" w:eastAsia="仿宋_GB2312" w:cs="Times New Roman"/>
          <w:color w:val="000000"/>
          <w:sz w:val="30"/>
          <w:szCs w:val="32"/>
          <w:u w:val="single"/>
          <w:lang w:val="en-US" w:eastAsia="zh-CN"/>
        </w:rPr>
        <w:t>如不在规定时间报送结算资料、        等情形</w:t>
      </w:r>
      <w:r>
        <w:rPr>
          <w:rFonts w:hint="eastAsia" w:ascii="Times New Roman" w:hAnsi="Times New Roman" w:eastAsia="仿宋_GB2312" w:cs="Times New Roman"/>
          <w:color w:val="000000"/>
          <w:sz w:val="30"/>
          <w:szCs w:val="32"/>
          <w:u w:val="single"/>
        </w:rPr>
        <w:t>：按  10000 元/次支付违约金。</w:t>
      </w:r>
    </w:p>
    <w:p w14:paraId="1C7799F9">
      <w:pPr>
        <w:spacing w:line="360" w:lineRule="auto"/>
        <w:ind w:firstLine="600" w:firstLineChars="200"/>
        <w:rPr>
          <w:rFonts w:hint="default" w:ascii="Times New Roman" w:hAnsi="Times New Roman" w:eastAsia="仿宋_GB2312" w:cs="Times New Roman"/>
          <w:color w:val="000000"/>
          <w:sz w:val="30"/>
          <w:szCs w:val="32"/>
          <w:u w:val="single"/>
          <w:lang w:val="en-US" w:eastAsia="zh-CN"/>
        </w:rPr>
      </w:pPr>
      <w:r>
        <w:rPr>
          <w:rFonts w:hint="eastAsia" w:ascii="Times New Roman" w:hAnsi="Times New Roman" w:eastAsia="仿宋_GB2312" w:cs="Times New Roman"/>
          <w:color w:val="000000"/>
          <w:sz w:val="30"/>
          <w:szCs w:val="32"/>
          <w:u w:val="single"/>
          <w:lang w:val="en-US" w:eastAsia="zh-CN"/>
        </w:rPr>
        <w:t>经发包人两次函告后承包人仍拒不配合提供结算审核资料的，发包人有权采取资料公证、委托结算审核单位直接出具结算审核报告等方式进行结算审核，所产生的费用由承包人承担，且该结算审核报告作为发包人与承包人的结算依据。同时，发包人有权就承包人此违约行为单方解除本合同。</w:t>
      </w:r>
    </w:p>
    <w:p w14:paraId="282645C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(17)承包人未按合同约定移交全部和部分工程的违约责任：由承包人承担工程照管、成品保护、保管等与工程有关的各种费用，并按结算金额或违约部分结算金额的 0.5‰支付违约金。</w:t>
      </w:r>
    </w:p>
    <w:p w14:paraId="00863B8E">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(18)承包人未按合同约定购买保险的违约责任：除按通用合同条件18.5.3项[未按约定投保的补救]执行外，每延迟 1 天，按 500 元/天支付违约金。</w:t>
      </w:r>
    </w:p>
    <w:p w14:paraId="4173E7B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(19)发生第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项（10）目、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项（11）目、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项（12）目违约情形的违约责任：除承担由此增加的费用和工期延误的责任，承包人应向发包人支付违约金：</w:t>
      </w:r>
    </w:p>
    <w:p w14:paraId="36E04A2E">
      <w:pPr>
        <w:spacing w:line="360" w:lineRule="auto"/>
        <w:ind w:firstLine="600" w:firstLineChars="200"/>
        <w:rPr>
          <w:rFonts w:hint="eastAsia" w:ascii="Times New Roman" w:hAnsi="Times New Roman" w:eastAsia="仿宋_GB2312" w:cs="Times New Roman"/>
          <w:color w:val="auto"/>
          <w:sz w:val="30"/>
          <w:szCs w:val="32"/>
          <w:u w:val="single"/>
        </w:rPr>
      </w:pPr>
      <w:r>
        <w:rPr>
          <w:rFonts w:hint="eastAsia" w:ascii="Times New Roman" w:hAnsi="Times New Roman" w:eastAsia="仿宋_GB2312" w:cs="Times New Roman"/>
          <w:color w:val="000000"/>
          <w:sz w:val="30"/>
          <w:szCs w:val="32"/>
          <w:u w:val="single"/>
        </w:rPr>
        <w:t>1）工程总承包项目经理或施工负责人违约承担方式和计算方法：对于第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项（10）目的情形，每发现一次，根据具体情节，按 1000 元/天·次计算违约金；不按承诺到岗的（第4.4.4项约定的情形除外），按履约保证金的10%支付违约金，并解除合同；擅自更换的，按签约合同价的0.5%/人·次支付违约金，每次不低于20万，累计不超过200万；被责令停止执业的，按签约合同价的0.5%/人·次支付违约金，</w:t>
      </w:r>
      <w:r>
        <w:rPr>
          <w:rFonts w:hint="eastAsia" w:ascii="Times New Roman" w:hAnsi="Times New Roman" w:eastAsia="仿宋_GB2312" w:cs="Times New Roman"/>
          <w:color w:val="auto"/>
          <w:sz w:val="30"/>
          <w:szCs w:val="32"/>
          <w:u w:val="single"/>
        </w:rPr>
        <w:t>每次不低于2万，累计不超过20万。</w:t>
      </w:r>
    </w:p>
    <w:p w14:paraId="04ACAA1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auto"/>
          <w:sz w:val="30"/>
          <w:szCs w:val="32"/>
          <w:u w:val="single"/>
        </w:rPr>
        <w:t>2）施工技术负责人违约承担方式和计算方法：对于第</w:t>
      </w:r>
      <w:r>
        <w:rPr>
          <w:rFonts w:hint="eastAsia" w:ascii="Times New Roman" w:hAnsi="Times New Roman" w:eastAsia="仿宋_GB2312" w:cs="Times New Roman"/>
          <w:color w:val="auto"/>
          <w:sz w:val="30"/>
          <w:szCs w:val="32"/>
          <w:u w:val="single"/>
          <w:lang w:val="en-US" w:eastAsia="zh-CN"/>
        </w:rPr>
        <w:t>16</w:t>
      </w:r>
      <w:r>
        <w:rPr>
          <w:rFonts w:hint="eastAsia" w:ascii="Times New Roman" w:hAnsi="Times New Roman" w:eastAsia="仿宋_GB2312" w:cs="Times New Roman"/>
          <w:color w:val="auto"/>
          <w:sz w:val="30"/>
          <w:szCs w:val="32"/>
          <w:u w:val="single"/>
        </w:rPr>
        <w:t>.2.1项（11）目的六种情形，每发现一次，根据具体情节，按 1000 元/天 ·次计算违约金；擅自更换施工技术负责人的，按签约合同价的 0.5%/人 ·次支付违约金，每次不低于1万，累计不超过10万</w:t>
      </w:r>
      <w:r>
        <w:rPr>
          <w:rFonts w:hint="eastAsia" w:ascii="Times New Roman" w:hAnsi="Times New Roman" w:eastAsia="仿宋_GB2312" w:cs="Times New Roman"/>
          <w:color w:val="000000"/>
          <w:sz w:val="30"/>
          <w:szCs w:val="32"/>
          <w:u w:val="single"/>
        </w:rPr>
        <w:t>。</w:t>
      </w:r>
    </w:p>
    <w:p w14:paraId="75246A3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3）其他主要管理人员违约承担方式和计算方法：对于第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项（12）目的五种情形，每发现一次，根据具体情节，按 500 元/天·次计算违约金。</w:t>
      </w:r>
    </w:p>
    <w:p w14:paraId="4652E19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应当由承包人向发包人支付的违约金，发包人可直接提取届时有效的履约担保相应金额，不足部分由承包人支付；若发包人提取履约担保相应金额，则承包人应在提取后 7 日内补足或提交合同约定的履约担保的金额，否则承担相应违约责任，并从应付或到期应付给承包人的任何款项中或采用其他方法，扣除该违约金。</w:t>
      </w:r>
    </w:p>
    <w:p w14:paraId="6F040D5F">
      <w:pPr>
        <w:spacing w:line="360" w:lineRule="auto"/>
        <w:ind w:firstLine="600" w:firstLineChars="200"/>
        <w:rPr>
          <w:rFonts w:ascii="Times New Roman" w:hAnsi="Times New Roman" w:eastAsia="仿宋_GB2312"/>
          <w:color w:val="000000"/>
          <w:kern w:val="0"/>
          <w:sz w:val="30"/>
          <w:szCs w:val="32"/>
          <w:u w:val="single"/>
        </w:rPr>
      </w:pPr>
      <w:r>
        <w:rPr>
          <w:rFonts w:hint="eastAsia" w:ascii="Times New Roman" w:hAnsi="Times New Roman" w:eastAsia="仿宋_GB2312" w:cs="Times New Roman"/>
          <w:color w:val="000000"/>
          <w:sz w:val="30"/>
          <w:szCs w:val="32"/>
          <w:u w:val="single"/>
        </w:rPr>
        <w:t>承包人必须及时纠正违约行为并采取积极措施，满足合同要求，自行承担与纠正违约行为有关的人身伤亡、罚款、索赔、损失补偿、诉讼费用及其他一切责任，工期不予顺延，承担由此给发包人造成的经济损失。</w:t>
      </w:r>
      <w:r>
        <w:rPr>
          <w:rFonts w:ascii="Times New Roman" w:hAnsi="Times New Roman" w:eastAsia="仿宋_GB2312"/>
          <w:color w:val="000000"/>
          <w:sz w:val="30"/>
          <w:szCs w:val="32"/>
        </w:rPr>
        <w:t xml:space="preserve"> </w:t>
      </w:r>
    </w:p>
    <w:p w14:paraId="692538D1">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16.2.3 因承包人违约解除合同</w:t>
      </w:r>
    </w:p>
    <w:p w14:paraId="3CEC4854">
      <w:pPr>
        <w:spacing w:before="120" w:after="120"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关于承包人违约解除合同的特别约定：</w:t>
      </w:r>
    </w:p>
    <w:p w14:paraId="4EB800D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(1)未按合同约定延迟提供履约担保、质量保证金超过14天的；</w:t>
      </w:r>
    </w:p>
    <w:p w14:paraId="3FC45CE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(2)未按合同约定购买保险且经催告后超过56天的；</w:t>
      </w:r>
    </w:p>
    <w:p w14:paraId="1F6B8E2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(3)因承包人原因导致开始工作时间累计延误超过56天的；</w:t>
      </w:r>
    </w:p>
    <w:p w14:paraId="75C1459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(4)因承包人原因导致工期延误超过90天的；</w:t>
      </w:r>
    </w:p>
    <w:p w14:paraId="56123A8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5</w:t>
      </w:r>
      <w:r>
        <w:rPr>
          <w:rFonts w:hint="eastAsia" w:ascii="Times New Roman" w:hAnsi="Times New Roman" w:eastAsia="仿宋_GB2312" w:cs="Times New Roman"/>
          <w:color w:val="000000"/>
          <w:sz w:val="30"/>
          <w:szCs w:val="32"/>
          <w:u w:val="single"/>
        </w:rPr>
        <w:t>)监理人发出整改通知后，承包人在监理人限定的期限内仍不纠正违约行为的；</w:t>
      </w:r>
    </w:p>
    <w:p w14:paraId="429C144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)承包人严重资不抵债且无法履行合同的；</w:t>
      </w:r>
    </w:p>
    <w:p w14:paraId="3CFD6E79">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7</w:t>
      </w:r>
      <w:r>
        <w:rPr>
          <w:rFonts w:hint="eastAsia" w:ascii="Times New Roman" w:hAnsi="Times New Roman" w:eastAsia="仿宋_GB2312" w:cs="Times New Roman"/>
          <w:color w:val="000000"/>
          <w:sz w:val="30"/>
          <w:szCs w:val="32"/>
          <w:u w:val="single"/>
        </w:rPr>
        <w:t>)违反适用法律而被相关政府部门依法吊销营业执照、责令关闭的；</w:t>
      </w:r>
    </w:p>
    <w:p w14:paraId="21FA5B2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8</w:t>
      </w:r>
      <w:r>
        <w:rPr>
          <w:rFonts w:hint="eastAsia" w:ascii="Times New Roman" w:hAnsi="Times New Roman" w:eastAsia="仿宋_GB2312" w:cs="Times New Roman"/>
          <w:color w:val="000000"/>
          <w:sz w:val="30"/>
          <w:szCs w:val="32"/>
          <w:u w:val="single"/>
        </w:rPr>
        <w:t>) 承包人未履行合同项下的义务构成对合同的实质性违约，并且在收到发包人要求说明其违约并予以补救的通知后 56 天内仍未能补救该实质性违约的；</w:t>
      </w:r>
    </w:p>
    <w:p w14:paraId="686ADF60">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9</w:t>
      </w:r>
      <w:r>
        <w:rPr>
          <w:rFonts w:hint="eastAsia" w:ascii="Times New Roman" w:hAnsi="Times New Roman" w:eastAsia="仿宋_GB2312" w:cs="Times New Roman"/>
          <w:color w:val="000000"/>
          <w:sz w:val="30"/>
          <w:szCs w:val="32"/>
          <w:u w:val="single"/>
        </w:rPr>
        <w:t>)合同约定其他情况的，发包人有权解除合同的。</w:t>
      </w:r>
    </w:p>
    <w:p w14:paraId="52ACD104">
      <w:pPr>
        <w:spacing w:before="120" w:after="120"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继续</w:t>
      </w:r>
      <w:r>
        <w:rPr>
          <w:rFonts w:ascii="Times New Roman" w:hAnsi="Times New Roman" w:eastAsia="仿宋_GB2312"/>
          <w:color w:val="000000"/>
          <w:kern w:val="0"/>
          <w:sz w:val="30"/>
          <w:szCs w:val="32"/>
        </w:rPr>
        <w:t>使用承包人在施工现场的材料、设备、临时工程、承包人文件和由承包人或以其名义编制的其他文件</w:t>
      </w:r>
      <w:r>
        <w:rPr>
          <w:rFonts w:hint="eastAsia" w:ascii="Times New Roman" w:hAnsi="Times New Roman" w:eastAsia="仿宋_GB2312"/>
          <w:color w:val="000000"/>
          <w:kern w:val="0"/>
          <w:sz w:val="30"/>
          <w:szCs w:val="32"/>
        </w:rPr>
        <w:t>的费用承担方式</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14:paraId="163B387C">
      <w:pPr>
        <w:pStyle w:val="7"/>
        <w:spacing w:before="120" w:after="120" w:line="360" w:lineRule="auto"/>
        <w:rPr>
          <w:rFonts w:ascii="Times New Roman" w:hAnsi="Times New Roman" w:eastAsia="黑体"/>
          <w:b w:val="0"/>
          <w:color w:val="000000"/>
          <w:sz w:val="32"/>
          <w:szCs w:val="32"/>
        </w:rPr>
      </w:pPr>
      <w:bookmarkStart w:id="929" w:name="_Toc351203649"/>
      <w:r>
        <w:rPr>
          <w:rFonts w:ascii="Times New Roman" w:hAnsi="Times New Roman" w:eastAsia="黑体"/>
          <w:b w:val="0"/>
          <w:color w:val="000000"/>
          <w:sz w:val="32"/>
          <w:szCs w:val="32"/>
        </w:rPr>
        <w:t>17. 不可抗力</w:t>
      </w:r>
      <w:bookmarkEnd w:id="929"/>
      <w:r>
        <w:rPr>
          <w:rFonts w:ascii="Times New Roman" w:hAnsi="Times New Roman" w:eastAsia="黑体"/>
          <w:b w:val="0"/>
          <w:color w:val="000000"/>
          <w:sz w:val="32"/>
          <w:szCs w:val="32"/>
        </w:rPr>
        <w:t xml:space="preserve"> </w:t>
      </w:r>
      <w:bookmarkEnd w:id="925"/>
    </w:p>
    <w:p w14:paraId="3C8CA83F">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17.1 不可抗力的确认</w:t>
      </w:r>
    </w:p>
    <w:p w14:paraId="411801CE">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rPr>
        <w:t xml:space="preserve">除通用合同条款约定的不可抗力事件之外，视为不可抗力的其他情形：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5F75423A">
      <w:pPr>
        <w:spacing w:after="120" w:line="360" w:lineRule="auto"/>
        <w:ind w:firstLine="600" w:firstLineChars="200"/>
        <w:outlineLvl w:val="0"/>
        <w:rPr>
          <w:rFonts w:ascii="Times New Roman" w:hAnsi="Times New Roman" w:eastAsia="黑体"/>
          <w:color w:val="000000"/>
          <w:sz w:val="30"/>
          <w:szCs w:val="32"/>
        </w:rPr>
      </w:pPr>
      <w:bookmarkStart w:id="930" w:name="_Toc9611"/>
      <w:r>
        <w:rPr>
          <w:rFonts w:ascii="Times New Roman" w:hAnsi="Times New Roman" w:eastAsia="黑体"/>
          <w:color w:val="000000"/>
          <w:sz w:val="30"/>
          <w:szCs w:val="32"/>
        </w:rPr>
        <w:t>17.4 因不可抗力解除合同</w:t>
      </w:r>
      <w:bookmarkEnd w:id="930"/>
    </w:p>
    <w:p w14:paraId="080366DB">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合同解除后，发包人应在商定或确定发包人应支付款项后</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天内完成款项的支付。</w:t>
      </w:r>
    </w:p>
    <w:p w14:paraId="39444C34">
      <w:pPr>
        <w:pStyle w:val="7"/>
        <w:spacing w:before="120" w:after="120" w:line="360" w:lineRule="auto"/>
        <w:rPr>
          <w:rFonts w:ascii="Times New Roman" w:hAnsi="Times New Roman" w:eastAsia="黑体"/>
          <w:b w:val="0"/>
          <w:color w:val="000000"/>
          <w:sz w:val="32"/>
          <w:szCs w:val="32"/>
        </w:rPr>
      </w:pPr>
      <w:bookmarkStart w:id="931" w:name="_Toc351203650"/>
      <w:r>
        <w:rPr>
          <w:rFonts w:ascii="Times New Roman" w:hAnsi="Times New Roman" w:eastAsia="黑体"/>
          <w:b w:val="0"/>
          <w:color w:val="000000"/>
          <w:sz w:val="32"/>
          <w:szCs w:val="32"/>
        </w:rPr>
        <w:t>18. 保险</w:t>
      </w:r>
      <w:bookmarkEnd w:id="931"/>
    </w:p>
    <w:bookmarkEnd w:id="926"/>
    <w:p w14:paraId="36FF975D">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18.1 工程保险</w:t>
      </w:r>
    </w:p>
    <w:p w14:paraId="37A03058">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关于工程保险的特别约定：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61E49635">
      <w:pPr>
        <w:spacing w:after="120" w:line="360" w:lineRule="auto"/>
        <w:ind w:firstLine="600" w:firstLineChars="200"/>
        <w:outlineLvl w:val="0"/>
        <w:rPr>
          <w:rFonts w:ascii="Times New Roman" w:hAnsi="Times New Roman" w:eastAsia="黑体"/>
          <w:color w:val="000000"/>
          <w:sz w:val="30"/>
          <w:szCs w:val="32"/>
        </w:rPr>
      </w:pPr>
      <w:bookmarkStart w:id="932" w:name="_Toc1426"/>
      <w:r>
        <w:rPr>
          <w:rFonts w:ascii="Times New Roman" w:hAnsi="Times New Roman" w:eastAsia="黑体"/>
          <w:color w:val="000000"/>
          <w:sz w:val="30"/>
          <w:szCs w:val="32"/>
        </w:rPr>
        <w:t>18.3 其他保险</w:t>
      </w:r>
      <w:bookmarkEnd w:id="932"/>
    </w:p>
    <w:p w14:paraId="271CBD91">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关于其他保险的约定：</w:t>
      </w:r>
      <w:r>
        <w:rPr>
          <w:rFonts w:hint="eastAsia" w:ascii="Times New Roman" w:hAnsi="Times New Roman" w:eastAsia="仿宋_GB2312"/>
          <w:color w:val="000000"/>
          <w:sz w:val="30"/>
          <w:szCs w:val="32"/>
          <w:u w:val="single"/>
        </w:rPr>
        <w:t>承包人应按《重庆市人民政府办公厅关于在高危行业领域强制推行安全生产责任保险的实施意见》（渝府办法〔2017〕182号）的要求办理安全生产责任保险</w:t>
      </w:r>
      <w:r>
        <w:rPr>
          <w:rFonts w:ascii="Times New Roman" w:hAnsi="Times New Roman" w:eastAsia="仿宋_GB2312"/>
          <w:color w:val="000000"/>
          <w:kern w:val="0"/>
          <w:sz w:val="30"/>
          <w:szCs w:val="32"/>
          <w:u w:val="single"/>
        </w:rPr>
        <w:t>。</w:t>
      </w:r>
    </w:p>
    <w:p w14:paraId="367A8C54">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承包人是否应为其施工设备等办理财产保险：</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79A6D6DA">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18.7 通知义务</w:t>
      </w:r>
    </w:p>
    <w:p w14:paraId="7B2F53A0">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关于变更保险合同时的通知义务的约定：</w:t>
      </w:r>
      <w:r>
        <w:rPr>
          <w:rFonts w:hint="eastAsia" w:ascii="Times New Roman" w:hAnsi="Times New Roman" w:eastAsia="仿宋_GB2312"/>
          <w:color w:val="000000"/>
          <w:kern w:val="0"/>
          <w:sz w:val="30"/>
          <w:szCs w:val="32"/>
          <w:u w:val="single"/>
        </w:rPr>
        <w:t>按通用合同条件执行</w:t>
      </w:r>
      <w:r>
        <w:rPr>
          <w:rFonts w:ascii="Times New Roman" w:hAnsi="Times New Roman" w:eastAsia="仿宋_GB2312"/>
          <w:color w:val="000000"/>
          <w:sz w:val="30"/>
          <w:szCs w:val="32"/>
          <w:u w:val="single"/>
        </w:rPr>
        <w:t>。</w:t>
      </w:r>
    </w:p>
    <w:bookmarkEnd w:id="897"/>
    <w:bookmarkEnd w:id="898"/>
    <w:bookmarkEnd w:id="899"/>
    <w:bookmarkEnd w:id="900"/>
    <w:bookmarkEnd w:id="901"/>
    <w:bookmarkEnd w:id="902"/>
    <w:bookmarkEnd w:id="903"/>
    <w:bookmarkEnd w:id="904"/>
    <w:bookmarkEnd w:id="905"/>
    <w:bookmarkEnd w:id="906"/>
    <w:bookmarkEnd w:id="907"/>
    <w:bookmarkEnd w:id="908"/>
    <w:p w14:paraId="39360638">
      <w:pPr>
        <w:pStyle w:val="7"/>
        <w:spacing w:before="120" w:after="120" w:line="360" w:lineRule="auto"/>
        <w:rPr>
          <w:rFonts w:ascii="Times New Roman" w:hAnsi="Times New Roman" w:eastAsia="黑体"/>
          <w:b w:val="0"/>
          <w:color w:val="000000"/>
          <w:sz w:val="32"/>
          <w:szCs w:val="32"/>
        </w:rPr>
      </w:pPr>
      <w:bookmarkStart w:id="933" w:name="_Toc351203651"/>
      <w:r>
        <w:rPr>
          <w:rFonts w:ascii="Times New Roman" w:hAnsi="Times New Roman" w:eastAsia="黑体"/>
          <w:b w:val="0"/>
          <w:color w:val="000000"/>
          <w:sz w:val="32"/>
          <w:szCs w:val="32"/>
        </w:rPr>
        <w:t>20. 争议解决</w:t>
      </w:r>
      <w:bookmarkEnd w:id="933"/>
    </w:p>
    <w:bookmarkEnd w:id="909"/>
    <w:bookmarkEnd w:id="910"/>
    <w:p w14:paraId="3E51C625">
      <w:pPr>
        <w:spacing w:after="120" w:line="360" w:lineRule="auto"/>
        <w:ind w:firstLine="600" w:firstLineChars="200"/>
        <w:outlineLvl w:val="0"/>
        <w:rPr>
          <w:rFonts w:ascii="Times New Roman" w:hAnsi="Times New Roman" w:eastAsia="黑体"/>
          <w:color w:val="000000"/>
          <w:sz w:val="30"/>
          <w:szCs w:val="32"/>
        </w:rPr>
      </w:pPr>
      <w:bookmarkStart w:id="934" w:name="_Toc25557"/>
      <w:r>
        <w:rPr>
          <w:rFonts w:ascii="Times New Roman" w:hAnsi="Times New Roman" w:eastAsia="黑体"/>
          <w:color w:val="000000"/>
          <w:sz w:val="30"/>
          <w:szCs w:val="32"/>
        </w:rPr>
        <w:t>20.3 争</w:t>
      </w:r>
      <w:bookmarkEnd w:id="911"/>
      <w:r>
        <w:rPr>
          <w:rFonts w:ascii="Times New Roman" w:hAnsi="Times New Roman" w:eastAsia="黑体"/>
          <w:color w:val="000000"/>
          <w:sz w:val="30"/>
          <w:szCs w:val="32"/>
        </w:rPr>
        <w:t>议评审</w:t>
      </w:r>
      <w:bookmarkEnd w:id="934"/>
    </w:p>
    <w:p w14:paraId="6FD34F3F">
      <w:pPr>
        <w:spacing w:line="360" w:lineRule="auto"/>
        <w:ind w:left="149" w:leftChars="71" w:firstLine="450" w:firstLineChars="15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rPr>
        <w:t>不同意</w:t>
      </w:r>
      <w:r>
        <w:rPr>
          <w:rFonts w:hint="eastAsia" w:ascii="Times New Roman" w:hAnsi="Times New Roman" w:eastAsia="仿宋_GB2312"/>
          <w:color w:val="000000"/>
          <w:sz w:val="30"/>
          <w:szCs w:val="32"/>
          <w:u w:val="single"/>
          <w:lang w:eastAsia="zh-CN"/>
        </w:rPr>
        <w:t>。</w:t>
      </w:r>
      <w:r>
        <w:rPr>
          <w:rFonts w:hint="eastAsia" w:ascii="Times New Roman" w:hAnsi="Times New Roman" w:eastAsia="仿宋_GB2312"/>
          <w:color w:val="000000"/>
          <w:sz w:val="30"/>
          <w:szCs w:val="32"/>
        </w:rPr>
        <w:t xml:space="preserve">  </w:t>
      </w:r>
    </w:p>
    <w:p w14:paraId="36198D85">
      <w:pPr>
        <w:spacing w:line="360" w:lineRule="auto"/>
        <w:ind w:firstLine="600" w:firstLineChars="200"/>
        <w:jc w:val="left"/>
        <w:outlineLvl w:val="0"/>
        <w:rPr>
          <w:rFonts w:ascii="Times New Roman" w:hAnsi="Times New Roman" w:eastAsia="仿宋_GB2312"/>
          <w:color w:val="000000"/>
          <w:sz w:val="30"/>
          <w:szCs w:val="32"/>
        </w:rPr>
      </w:pPr>
      <w:bookmarkStart w:id="935" w:name="_Toc22455"/>
      <w:r>
        <w:rPr>
          <w:rFonts w:ascii="Times New Roman" w:hAnsi="Times New Roman" w:eastAsia="仿宋_GB2312"/>
          <w:color w:val="000000"/>
          <w:sz w:val="30"/>
          <w:szCs w:val="32"/>
        </w:rPr>
        <w:t>20.3.1 争议评审小组的确定</w:t>
      </w:r>
      <w:bookmarkEnd w:id="935"/>
    </w:p>
    <w:p w14:paraId="33878D8D">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执行通用条款</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11AF45EB">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执行通用条款</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4E2B4D07">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争议评审小组成员的报酬承担方式：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执行通用条款</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398D194E">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执行通用条款</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5DEAFB84">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bookmarkStart w:id="936" w:name="_Toc29438"/>
      <w:r>
        <w:rPr>
          <w:rFonts w:ascii="Times New Roman" w:hAnsi="Times New Roman" w:eastAsia="仿宋_GB2312"/>
          <w:color w:val="000000"/>
          <w:kern w:val="0"/>
          <w:sz w:val="30"/>
          <w:szCs w:val="32"/>
        </w:rPr>
        <w:t>20.3.2 争议评审小组的决定</w:t>
      </w:r>
      <w:bookmarkEnd w:id="936"/>
    </w:p>
    <w:p w14:paraId="55F6907D">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执行通用条款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72798917">
      <w:pPr>
        <w:spacing w:after="120" w:line="360" w:lineRule="auto"/>
        <w:ind w:firstLine="600" w:firstLineChars="200"/>
        <w:outlineLvl w:val="0"/>
        <w:rPr>
          <w:rFonts w:hint="eastAsia" w:ascii="Times New Roman" w:hAnsi="Times New Roman" w:eastAsia="黑体"/>
          <w:color w:val="000000"/>
          <w:sz w:val="30"/>
          <w:szCs w:val="32"/>
        </w:rPr>
      </w:pPr>
      <w:bookmarkStart w:id="937" w:name="_Toc5014"/>
      <w:r>
        <w:rPr>
          <w:rFonts w:ascii="Times New Roman" w:hAnsi="Times New Roman" w:eastAsia="黑体"/>
          <w:color w:val="000000"/>
          <w:sz w:val="30"/>
          <w:szCs w:val="32"/>
        </w:rPr>
        <w:t>20.4仲裁或诉讼</w:t>
      </w:r>
      <w:bookmarkEnd w:id="912"/>
      <w:bookmarkEnd w:id="937"/>
    </w:p>
    <w:p w14:paraId="25A4694A">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ascii="Times New Roman" w:hAnsi="Times New Roman" w:eastAsia="仿宋_GB2312"/>
          <w:color w:val="000000"/>
          <w:sz w:val="30"/>
          <w:szCs w:val="32"/>
          <w:u w:val="single"/>
        </w:rPr>
        <w:t>（2）</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14:paraId="36A0DEEC">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重庆</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14:paraId="74CD252A">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工程项目所在地</w:t>
      </w:r>
      <w:r>
        <w:rPr>
          <w:rFonts w:ascii="Times New Roman" w:hAnsi="Times New Roman" w:eastAsia="仿宋_GB2312"/>
          <w:color w:val="000000"/>
          <w:sz w:val="30"/>
          <w:szCs w:val="32"/>
        </w:rPr>
        <w:t>人民法院起诉。</w:t>
      </w:r>
      <w:bookmarkEnd w:id="913"/>
      <w:bookmarkEnd w:id="914"/>
      <w:bookmarkEnd w:id="915"/>
      <w:bookmarkEnd w:id="916"/>
      <w:bookmarkEnd w:id="917"/>
      <w:bookmarkEnd w:id="918"/>
    </w:p>
    <w:p w14:paraId="50CEABF6">
      <w:pPr>
        <w:spacing w:line="360" w:lineRule="auto"/>
        <w:jc w:val="left"/>
        <w:rPr>
          <w:rFonts w:ascii="Times New Roman" w:hAnsi="Times New Roman" w:eastAsia="黑体"/>
          <w:b/>
          <w:color w:val="000000"/>
          <w:sz w:val="32"/>
          <w:szCs w:val="32"/>
        </w:rPr>
      </w:pPr>
      <w:r>
        <w:rPr>
          <w:rFonts w:ascii="Times New Roman" w:hAnsi="Times New Roman" w:eastAsia="仿宋_GB2312"/>
          <w:color w:val="000000"/>
          <w:sz w:val="30"/>
          <w:szCs w:val="32"/>
        </w:rPr>
        <w:br w:type="page"/>
      </w:r>
      <w:bookmarkStart w:id="938" w:name="_Toc351203652"/>
      <w:r>
        <w:rPr>
          <w:rFonts w:ascii="Times New Roman" w:hAnsi="Times New Roman" w:eastAsia="黑体"/>
          <w:b/>
          <w:color w:val="000000"/>
          <w:sz w:val="32"/>
          <w:szCs w:val="32"/>
        </w:rPr>
        <w:t>附件</w:t>
      </w:r>
      <w:bookmarkEnd w:id="938"/>
    </w:p>
    <w:p w14:paraId="67D8EA73">
      <w:pPr>
        <w:spacing w:line="360" w:lineRule="auto"/>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协议书附件：</w:t>
      </w:r>
    </w:p>
    <w:p w14:paraId="08B23BAD">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附件1：承包人承揽工程项目一览表</w:t>
      </w:r>
    </w:p>
    <w:p w14:paraId="3D5D0889">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专用合同条款附件：</w:t>
      </w:r>
    </w:p>
    <w:p w14:paraId="59E66E05">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附件2：发包人供应材料设备一览表</w:t>
      </w:r>
    </w:p>
    <w:p w14:paraId="4B27681D">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附件3：工程质量保修书</w:t>
      </w:r>
    </w:p>
    <w:p w14:paraId="129B59D3">
      <w:pPr>
        <w:pStyle w:val="2"/>
        <w:ind w:left="0" w:leftChars="0" w:firstLine="0" w:firstLineChars="0"/>
        <w:jc w:val="both"/>
        <w:rPr>
          <w:rFonts w:hint="eastAsia" w:ascii="Times New Roman" w:hAnsi="Times New Roman" w:eastAsia="仿宋_GB2312"/>
          <w:color w:val="000000"/>
          <w:sz w:val="30"/>
          <w:szCs w:val="32"/>
          <w:highlight w:val="none"/>
          <w:lang w:val="en-US" w:eastAsia="zh-CN"/>
        </w:rPr>
      </w:pPr>
      <w:r>
        <w:rPr>
          <w:rFonts w:ascii="Times New Roman" w:hAnsi="Times New Roman" w:eastAsia="仿宋_GB2312"/>
          <w:color w:val="000000"/>
          <w:sz w:val="30"/>
          <w:szCs w:val="32"/>
          <w:highlight w:val="none"/>
        </w:rPr>
        <w:t>附件4：</w:t>
      </w:r>
      <w:r>
        <w:rPr>
          <w:rFonts w:hint="eastAsia" w:ascii="Times New Roman" w:hAnsi="Times New Roman" w:eastAsia="仿宋_GB2312"/>
          <w:color w:val="000000"/>
          <w:sz w:val="30"/>
          <w:szCs w:val="32"/>
          <w:highlight w:val="none"/>
          <w:lang w:val="en-US" w:eastAsia="zh-CN"/>
        </w:rPr>
        <w:t>安全管理协议</w:t>
      </w:r>
    </w:p>
    <w:p w14:paraId="6F98A8E2">
      <w:pPr>
        <w:rPr>
          <w:rFonts w:hint="eastAsia" w:ascii="Times New Roman" w:hAnsi="Times New Roman" w:eastAsia="仿宋_GB2312"/>
          <w:color w:val="000000"/>
          <w:sz w:val="30"/>
          <w:szCs w:val="32"/>
          <w:highlight w:val="none"/>
          <w:lang w:val="en-US" w:eastAsia="zh-CN"/>
        </w:rPr>
      </w:pPr>
      <w:r>
        <w:rPr>
          <w:rFonts w:hint="eastAsia" w:ascii="Times New Roman" w:hAnsi="Times New Roman" w:eastAsia="仿宋_GB2312"/>
          <w:color w:val="000000"/>
          <w:sz w:val="30"/>
          <w:szCs w:val="32"/>
          <w:highlight w:val="none"/>
          <w:lang w:val="en-US" w:eastAsia="zh-CN"/>
        </w:rPr>
        <w:t>附件5：廉洁从业协议</w:t>
      </w:r>
    </w:p>
    <w:p w14:paraId="0CA829C9">
      <w:pPr>
        <w:pStyle w:val="51"/>
        <w:ind w:left="0" w:leftChars="0" w:firstLine="0" w:firstLineChars="0"/>
        <w:jc w:val="both"/>
        <w:rPr>
          <w:rFonts w:hint="default"/>
          <w:highlight w:val="none"/>
          <w:lang w:val="en-US" w:eastAsia="zh-CN"/>
        </w:rPr>
      </w:pPr>
      <w:r>
        <w:rPr>
          <w:rFonts w:hint="eastAsia" w:ascii="Times New Roman" w:hAnsi="Times New Roman" w:eastAsia="仿宋_GB2312"/>
          <w:color w:val="000000"/>
          <w:sz w:val="30"/>
          <w:szCs w:val="32"/>
          <w:highlight w:val="none"/>
          <w:lang w:val="en-US" w:eastAsia="zh-CN"/>
        </w:rPr>
        <w:t>附件6：</w:t>
      </w:r>
      <w:r>
        <w:rPr>
          <w:rFonts w:hint="eastAsia" w:ascii="Times New Roman" w:hAnsi="Times New Roman" w:eastAsia="仿宋_GB2312" w:cs="Times New Roman"/>
          <w:color w:val="000000"/>
          <w:kern w:val="2"/>
          <w:sz w:val="30"/>
          <w:szCs w:val="32"/>
          <w:highlight w:val="none"/>
          <w:lang w:val="en-US" w:eastAsia="zh-CN" w:bidi="ar-SA"/>
        </w:rPr>
        <w:t>保障建筑工人工资支付协议</w:t>
      </w:r>
    </w:p>
    <w:p w14:paraId="69BDF775">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:7</w:t>
      </w:r>
      <w:r>
        <w:rPr>
          <w:rFonts w:ascii="Times New Roman" w:hAnsi="Times New Roman" w:eastAsia="仿宋_GB2312"/>
          <w:color w:val="000000"/>
          <w:sz w:val="30"/>
          <w:szCs w:val="32"/>
        </w:rPr>
        <w:t>：主要建设工程文件目录</w:t>
      </w:r>
    </w:p>
    <w:p w14:paraId="765751BA">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8</w:t>
      </w:r>
      <w:r>
        <w:rPr>
          <w:rFonts w:ascii="Times New Roman" w:hAnsi="Times New Roman" w:eastAsia="仿宋_GB2312"/>
          <w:color w:val="000000"/>
          <w:sz w:val="30"/>
          <w:szCs w:val="32"/>
        </w:rPr>
        <w:t>：承包人用于本工程施工的机械设备表</w:t>
      </w:r>
    </w:p>
    <w:p w14:paraId="15CFE028">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9</w:t>
      </w:r>
      <w:r>
        <w:rPr>
          <w:rFonts w:ascii="Times New Roman" w:hAnsi="Times New Roman" w:eastAsia="仿宋_GB2312"/>
          <w:color w:val="000000"/>
          <w:sz w:val="30"/>
          <w:szCs w:val="32"/>
        </w:rPr>
        <w:t>：承包人主要施工管理人员表</w:t>
      </w:r>
    </w:p>
    <w:p w14:paraId="14B507B2">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10</w:t>
      </w:r>
      <w:r>
        <w:rPr>
          <w:rFonts w:ascii="Times New Roman" w:hAnsi="Times New Roman" w:eastAsia="仿宋_GB2312"/>
          <w:color w:val="000000"/>
          <w:sz w:val="30"/>
          <w:szCs w:val="32"/>
        </w:rPr>
        <w:t>：分包人主要施工管理人员表</w:t>
      </w:r>
    </w:p>
    <w:p w14:paraId="3E6A37B8">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11</w:t>
      </w:r>
      <w:r>
        <w:rPr>
          <w:rFonts w:ascii="Times New Roman" w:hAnsi="Times New Roman" w:eastAsia="仿宋_GB2312"/>
          <w:color w:val="000000"/>
          <w:sz w:val="30"/>
          <w:szCs w:val="32"/>
        </w:rPr>
        <w:t>：履约担保格式</w:t>
      </w:r>
    </w:p>
    <w:p w14:paraId="51476593">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12</w:t>
      </w:r>
      <w:r>
        <w:rPr>
          <w:rFonts w:ascii="Times New Roman" w:hAnsi="Times New Roman" w:eastAsia="仿宋_GB2312"/>
          <w:color w:val="000000"/>
          <w:sz w:val="30"/>
          <w:szCs w:val="32"/>
        </w:rPr>
        <w:t>：预付款担保格式</w:t>
      </w:r>
    </w:p>
    <w:p w14:paraId="0F1B07AF">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附件1</w:t>
      </w:r>
      <w:r>
        <w:rPr>
          <w:rFonts w:hint="eastAsia" w:ascii="Times New Roman" w:hAnsi="Times New Roman" w:eastAsia="仿宋_GB2312"/>
          <w:color w:val="000000"/>
          <w:sz w:val="30"/>
          <w:szCs w:val="32"/>
          <w:lang w:val="en-US" w:eastAsia="zh-CN"/>
        </w:rPr>
        <w:t>3</w:t>
      </w:r>
      <w:r>
        <w:rPr>
          <w:rFonts w:ascii="Times New Roman" w:hAnsi="Times New Roman" w:eastAsia="仿宋_GB2312"/>
          <w:color w:val="000000"/>
          <w:sz w:val="30"/>
          <w:szCs w:val="32"/>
        </w:rPr>
        <w:t>：支付担保格式</w:t>
      </w:r>
    </w:p>
    <w:p w14:paraId="170C0AAC">
      <w:pPr>
        <w:spacing w:line="360" w:lineRule="auto"/>
        <w:jc w:val="left"/>
        <w:rPr>
          <w:rFonts w:ascii="Times New Roman" w:hAnsi="Times New Roman" w:eastAsia="黑体"/>
          <w:color w:val="000000"/>
          <w:sz w:val="30"/>
          <w:szCs w:val="30"/>
        </w:rPr>
        <w:sectPr>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color w:val="000000"/>
          <w:sz w:val="30"/>
          <w:szCs w:val="32"/>
        </w:rPr>
        <w:t>附件1</w:t>
      </w:r>
      <w:r>
        <w:rPr>
          <w:rFonts w:hint="eastAsia" w:ascii="Times New Roman" w:hAnsi="Times New Roman" w:eastAsia="仿宋_GB2312"/>
          <w:color w:val="000000"/>
          <w:sz w:val="30"/>
          <w:szCs w:val="32"/>
          <w:lang w:val="en-US" w:eastAsia="zh-CN"/>
        </w:rPr>
        <w:t>4</w:t>
      </w:r>
      <w:r>
        <w:rPr>
          <w:rFonts w:ascii="Times New Roman" w:hAnsi="Times New Roman" w:eastAsia="仿宋_GB2312"/>
          <w:color w:val="000000"/>
          <w:sz w:val="30"/>
          <w:szCs w:val="32"/>
        </w:rPr>
        <w:t>：暂估价一览表</w:t>
      </w:r>
    </w:p>
    <w:p w14:paraId="66F1AD99">
      <w:pPr>
        <w:spacing w:before="156" w:beforeLines="50" w:after="156" w:afterLines="50" w:line="440" w:lineRule="exact"/>
        <w:jc w:val="lef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附件1：</w:t>
      </w:r>
    </w:p>
    <w:p w14:paraId="05813C12">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承包人承揽工程项目一览表</w:t>
      </w:r>
    </w:p>
    <w:tbl>
      <w:tblPr>
        <w:tblStyle w:val="5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6E8C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20D2CE79">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单位工程名称</w:t>
            </w:r>
          </w:p>
        </w:tc>
        <w:tc>
          <w:tcPr>
            <w:tcW w:w="1843" w:type="dxa"/>
            <w:tcBorders>
              <w:top w:val="single" w:color="auto" w:sz="12" w:space="0"/>
              <w:bottom w:val="double" w:color="auto" w:sz="6" w:space="0"/>
            </w:tcBorders>
            <w:noWrap w:val="0"/>
            <w:vAlign w:val="center"/>
          </w:tcPr>
          <w:p w14:paraId="5686D21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建设规模</w:t>
            </w:r>
          </w:p>
        </w:tc>
        <w:tc>
          <w:tcPr>
            <w:tcW w:w="1417" w:type="dxa"/>
            <w:tcBorders>
              <w:top w:val="single" w:color="auto" w:sz="12" w:space="0"/>
              <w:bottom w:val="double" w:color="auto" w:sz="6" w:space="0"/>
            </w:tcBorders>
            <w:noWrap w:val="0"/>
            <w:vAlign w:val="center"/>
          </w:tcPr>
          <w:p w14:paraId="5202048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建筑面积(平方米)</w:t>
            </w:r>
          </w:p>
        </w:tc>
        <w:tc>
          <w:tcPr>
            <w:tcW w:w="2410" w:type="dxa"/>
            <w:tcBorders>
              <w:top w:val="single" w:color="auto" w:sz="12" w:space="0"/>
              <w:bottom w:val="double" w:color="auto" w:sz="6" w:space="0"/>
            </w:tcBorders>
            <w:noWrap w:val="0"/>
            <w:vAlign w:val="center"/>
          </w:tcPr>
          <w:p w14:paraId="5219330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结构</w:t>
            </w:r>
            <w:r>
              <w:rPr>
                <w:rFonts w:hint="eastAsia" w:eastAsia="仿宋_GB2312"/>
                <w:color w:val="000000"/>
                <w:kern w:val="2"/>
                <w:sz w:val="28"/>
                <w:szCs w:val="30"/>
                <w:lang w:val="en-US" w:eastAsia="zh-CN"/>
              </w:rPr>
              <w:t>形式</w:t>
            </w:r>
          </w:p>
        </w:tc>
        <w:tc>
          <w:tcPr>
            <w:tcW w:w="850" w:type="dxa"/>
            <w:tcBorders>
              <w:top w:val="single" w:color="auto" w:sz="12" w:space="0"/>
              <w:bottom w:val="double" w:color="auto" w:sz="6" w:space="0"/>
            </w:tcBorders>
            <w:noWrap w:val="0"/>
            <w:vAlign w:val="center"/>
          </w:tcPr>
          <w:p w14:paraId="5F8BB73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层数</w:t>
            </w:r>
          </w:p>
        </w:tc>
        <w:tc>
          <w:tcPr>
            <w:tcW w:w="1560" w:type="dxa"/>
            <w:tcBorders>
              <w:top w:val="single" w:color="auto" w:sz="12" w:space="0"/>
              <w:bottom w:val="double" w:color="auto" w:sz="6" w:space="0"/>
            </w:tcBorders>
            <w:noWrap w:val="0"/>
            <w:vAlign w:val="center"/>
          </w:tcPr>
          <w:p w14:paraId="776527BB">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生产能力</w:t>
            </w:r>
          </w:p>
        </w:tc>
        <w:tc>
          <w:tcPr>
            <w:tcW w:w="2126" w:type="dxa"/>
            <w:tcBorders>
              <w:top w:val="single" w:color="auto" w:sz="12" w:space="0"/>
              <w:bottom w:val="double" w:color="auto" w:sz="6" w:space="0"/>
            </w:tcBorders>
            <w:noWrap w:val="0"/>
            <w:vAlign w:val="center"/>
          </w:tcPr>
          <w:p w14:paraId="6C69A99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设备安装内容</w:t>
            </w:r>
          </w:p>
        </w:tc>
        <w:tc>
          <w:tcPr>
            <w:tcW w:w="1417" w:type="dxa"/>
            <w:tcBorders>
              <w:top w:val="single" w:color="auto" w:sz="12" w:space="0"/>
              <w:bottom w:val="double" w:color="auto" w:sz="6" w:space="0"/>
            </w:tcBorders>
            <w:noWrap w:val="0"/>
            <w:vAlign w:val="center"/>
          </w:tcPr>
          <w:p w14:paraId="70AF4F3B">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合同价格（元）</w:t>
            </w:r>
          </w:p>
        </w:tc>
        <w:tc>
          <w:tcPr>
            <w:tcW w:w="851" w:type="dxa"/>
            <w:tcBorders>
              <w:top w:val="single" w:color="auto" w:sz="12" w:space="0"/>
              <w:bottom w:val="double" w:color="auto" w:sz="6" w:space="0"/>
            </w:tcBorders>
            <w:noWrap w:val="0"/>
            <w:vAlign w:val="center"/>
          </w:tcPr>
          <w:p w14:paraId="76B6F1F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开工日期</w:t>
            </w:r>
          </w:p>
        </w:tc>
        <w:tc>
          <w:tcPr>
            <w:tcW w:w="850" w:type="dxa"/>
            <w:tcBorders>
              <w:top w:val="single" w:color="auto" w:sz="12" w:space="0"/>
              <w:bottom w:val="double" w:color="auto" w:sz="6" w:space="0"/>
            </w:tcBorders>
            <w:noWrap w:val="0"/>
            <w:vAlign w:val="center"/>
          </w:tcPr>
          <w:p w14:paraId="4BA3714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竣工日期</w:t>
            </w:r>
          </w:p>
        </w:tc>
      </w:tr>
      <w:tr w14:paraId="700C1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205C8612">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double" w:color="auto" w:sz="6" w:space="0"/>
              <w:bottom w:val="single" w:color="auto" w:sz="6" w:space="0"/>
            </w:tcBorders>
            <w:noWrap w:val="0"/>
            <w:vAlign w:val="center"/>
          </w:tcPr>
          <w:p w14:paraId="65CDD408">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double" w:color="auto" w:sz="6" w:space="0"/>
              <w:bottom w:val="single" w:color="auto" w:sz="6" w:space="0"/>
            </w:tcBorders>
            <w:noWrap w:val="0"/>
            <w:vAlign w:val="center"/>
          </w:tcPr>
          <w:p w14:paraId="22F821C7">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double" w:color="auto" w:sz="6" w:space="0"/>
              <w:bottom w:val="single" w:color="auto" w:sz="6" w:space="0"/>
            </w:tcBorders>
            <w:noWrap w:val="0"/>
            <w:vAlign w:val="center"/>
          </w:tcPr>
          <w:p w14:paraId="58D9A4AD">
            <w:pPr>
              <w:pStyle w:val="2"/>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3528425E">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double" w:color="auto" w:sz="6" w:space="0"/>
              <w:bottom w:val="single" w:color="auto" w:sz="6" w:space="0"/>
            </w:tcBorders>
            <w:noWrap w:val="0"/>
            <w:vAlign w:val="center"/>
          </w:tcPr>
          <w:p w14:paraId="6EBD6F97">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double" w:color="auto" w:sz="6" w:space="0"/>
              <w:bottom w:val="single" w:color="auto" w:sz="6" w:space="0"/>
            </w:tcBorders>
            <w:noWrap w:val="0"/>
            <w:vAlign w:val="center"/>
          </w:tcPr>
          <w:p w14:paraId="14DB5F41">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double" w:color="auto" w:sz="6" w:space="0"/>
              <w:bottom w:val="single" w:color="auto" w:sz="6" w:space="0"/>
            </w:tcBorders>
            <w:noWrap w:val="0"/>
            <w:vAlign w:val="center"/>
          </w:tcPr>
          <w:p w14:paraId="59C60356">
            <w:pPr>
              <w:pStyle w:val="2"/>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22D4DB40">
            <w:pPr>
              <w:pStyle w:val="2"/>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38DBA576">
            <w:pPr>
              <w:pStyle w:val="2"/>
              <w:keepNext/>
              <w:spacing w:after="0" w:line="440" w:lineRule="exact"/>
              <w:ind w:left="63" w:right="63"/>
              <w:rPr>
                <w:rFonts w:eastAsia="仿宋_GB2312"/>
                <w:color w:val="000000"/>
                <w:kern w:val="2"/>
                <w:sz w:val="30"/>
                <w:szCs w:val="30"/>
                <w:lang w:val="en-US" w:eastAsia="zh-CN"/>
              </w:rPr>
            </w:pPr>
          </w:p>
        </w:tc>
      </w:tr>
      <w:tr w14:paraId="17991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F618697">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55A514FF">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ECE51AD">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7FD8B50D">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54572CFC">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2BECA399">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21BD9217">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28E0476">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5E0F91E3">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143E3E44">
            <w:pPr>
              <w:pStyle w:val="2"/>
              <w:keepNext/>
              <w:spacing w:after="0" w:line="440" w:lineRule="exact"/>
              <w:ind w:left="63" w:right="63"/>
              <w:rPr>
                <w:rFonts w:eastAsia="仿宋_GB2312"/>
                <w:color w:val="000000"/>
                <w:kern w:val="2"/>
                <w:sz w:val="30"/>
                <w:szCs w:val="30"/>
                <w:lang w:val="en-US" w:eastAsia="zh-CN"/>
              </w:rPr>
            </w:pPr>
          </w:p>
        </w:tc>
      </w:tr>
      <w:tr w14:paraId="74214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5905843">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339B3C88">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A5DD7EC">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02BD3802">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4340EB93">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01DD0731">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537D6373">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4630A034">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38BDF052">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0E9FC7B0">
            <w:pPr>
              <w:pStyle w:val="2"/>
              <w:keepNext/>
              <w:spacing w:after="0" w:line="440" w:lineRule="exact"/>
              <w:ind w:left="63" w:right="63"/>
              <w:rPr>
                <w:rFonts w:eastAsia="仿宋_GB2312"/>
                <w:color w:val="000000"/>
                <w:kern w:val="2"/>
                <w:sz w:val="30"/>
                <w:szCs w:val="30"/>
                <w:lang w:val="en-US" w:eastAsia="zh-CN"/>
              </w:rPr>
            </w:pPr>
          </w:p>
        </w:tc>
      </w:tr>
      <w:tr w14:paraId="6DF8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78F780B">
            <w:pPr>
              <w:pStyle w:val="2"/>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00E24EB2">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64708624">
            <w:pPr>
              <w:pStyle w:val="2"/>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47453733">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025E004A">
            <w:pPr>
              <w:pStyle w:val="2"/>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16D1B1E5">
            <w:pPr>
              <w:pStyle w:val="2"/>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2EC8F1FB">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21ADC96B">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558B92F4">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4C0F2A5A">
            <w:pPr>
              <w:pStyle w:val="2"/>
              <w:keepNext/>
              <w:spacing w:after="0" w:line="440" w:lineRule="exact"/>
              <w:ind w:left="63" w:right="63"/>
              <w:rPr>
                <w:rFonts w:eastAsia="仿宋_GB2312"/>
                <w:color w:val="000000"/>
                <w:kern w:val="2"/>
                <w:sz w:val="30"/>
                <w:szCs w:val="30"/>
                <w:lang w:val="en-US" w:eastAsia="zh-CN"/>
              </w:rPr>
            </w:pPr>
          </w:p>
        </w:tc>
      </w:tr>
      <w:tr w14:paraId="405DC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E3983CA">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551C07CB">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7A03329E">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64246744">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0BEC3F0A">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3E722BF2">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17947A9B">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0DF752C0">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10E718F8">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61206F25">
            <w:pPr>
              <w:pStyle w:val="2"/>
              <w:keepNext/>
              <w:spacing w:after="0" w:line="440" w:lineRule="exact"/>
              <w:ind w:left="63" w:right="63"/>
              <w:rPr>
                <w:rFonts w:eastAsia="仿宋_GB2312"/>
                <w:color w:val="000000"/>
                <w:kern w:val="2"/>
                <w:sz w:val="30"/>
                <w:szCs w:val="30"/>
                <w:lang w:val="en-US" w:eastAsia="zh-CN"/>
              </w:rPr>
            </w:pPr>
          </w:p>
        </w:tc>
      </w:tr>
      <w:tr w14:paraId="7CB99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B002937">
            <w:pPr>
              <w:pStyle w:val="2"/>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39427339">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3167BC58">
            <w:pPr>
              <w:pStyle w:val="2"/>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06CB34E7">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6BC44C8B">
            <w:pPr>
              <w:pStyle w:val="2"/>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05475401">
            <w:pPr>
              <w:pStyle w:val="2"/>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62D841C3">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3547178D">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0E1AADCF">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29C4BAF8">
            <w:pPr>
              <w:pStyle w:val="2"/>
              <w:keepNext/>
              <w:spacing w:after="0" w:line="440" w:lineRule="exact"/>
              <w:ind w:left="63" w:right="63"/>
              <w:rPr>
                <w:rFonts w:eastAsia="仿宋_GB2312"/>
                <w:color w:val="000000"/>
                <w:kern w:val="2"/>
                <w:sz w:val="30"/>
                <w:szCs w:val="30"/>
                <w:lang w:val="en-US" w:eastAsia="zh-CN"/>
              </w:rPr>
            </w:pPr>
          </w:p>
        </w:tc>
      </w:tr>
      <w:tr w14:paraId="5CC3F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0B36B9E">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75A83125">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07BA507B">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66FDF95B">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45592CE8">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4EA30E25">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3D922BA9">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0DACE74F">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46AE6284">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527138BF">
            <w:pPr>
              <w:pStyle w:val="2"/>
              <w:keepNext/>
              <w:spacing w:after="0" w:line="440" w:lineRule="exact"/>
              <w:ind w:left="63" w:right="63"/>
              <w:rPr>
                <w:rFonts w:eastAsia="仿宋_GB2312"/>
                <w:color w:val="000000"/>
                <w:kern w:val="2"/>
                <w:sz w:val="30"/>
                <w:szCs w:val="30"/>
                <w:lang w:val="en-US" w:eastAsia="zh-CN"/>
              </w:rPr>
            </w:pPr>
          </w:p>
        </w:tc>
      </w:tr>
      <w:tr w14:paraId="763DA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5C4E1C7">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653A2729">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7E831B9C">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5F95416B">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7D931DBA">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0ACC6D1C">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79F05C72">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9053FC0">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6E87B0E0">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3A9484F6">
            <w:pPr>
              <w:pStyle w:val="2"/>
              <w:keepNext/>
              <w:spacing w:after="0" w:line="440" w:lineRule="exact"/>
              <w:ind w:left="63" w:right="63"/>
              <w:rPr>
                <w:rFonts w:eastAsia="仿宋_GB2312"/>
                <w:color w:val="000000"/>
                <w:kern w:val="2"/>
                <w:sz w:val="30"/>
                <w:szCs w:val="30"/>
                <w:lang w:val="en-US" w:eastAsia="zh-CN"/>
              </w:rPr>
            </w:pPr>
          </w:p>
        </w:tc>
      </w:tr>
      <w:tr w14:paraId="0C2C6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8429473">
            <w:pPr>
              <w:pStyle w:val="2"/>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6E038161">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19244244">
            <w:pPr>
              <w:pStyle w:val="2"/>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3CCE88A8">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480F244C">
            <w:pPr>
              <w:pStyle w:val="2"/>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306FF8DD">
            <w:pPr>
              <w:pStyle w:val="2"/>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1C474531">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3741D0C6">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6DCA2219">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1C01D2FD">
            <w:pPr>
              <w:pStyle w:val="2"/>
              <w:keepNext/>
              <w:spacing w:after="0" w:line="440" w:lineRule="exact"/>
              <w:ind w:left="63" w:right="63"/>
              <w:rPr>
                <w:rFonts w:eastAsia="仿宋_GB2312"/>
                <w:color w:val="000000"/>
                <w:kern w:val="2"/>
                <w:sz w:val="30"/>
                <w:szCs w:val="30"/>
                <w:lang w:val="en-US" w:eastAsia="zh-CN"/>
              </w:rPr>
            </w:pPr>
          </w:p>
        </w:tc>
      </w:tr>
      <w:tr w14:paraId="0640D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AB4C639">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0BCC4014">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64FDA9EA">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327F4C99">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6437C272">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064AD1D7">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604055BD">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7B165263">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54D43586">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54728ECE">
            <w:pPr>
              <w:pStyle w:val="2"/>
              <w:keepNext/>
              <w:spacing w:after="0" w:line="440" w:lineRule="exact"/>
              <w:ind w:left="63" w:right="63"/>
              <w:rPr>
                <w:rFonts w:eastAsia="仿宋_GB2312"/>
                <w:color w:val="000000"/>
                <w:kern w:val="2"/>
                <w:sz w:val="30"/>
                <w:szCs w:val="30"/>
                <w:lang w:val="en-US" w:eastAsia="zh-CN"/>
              </w:rPr>
            </w:pPr>
          </w:p>
        </w:tc>
      </w:tr>
      <w:tr w14:paraId="0F791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1A1A97C">
            <w:pPr>
              <w:pStyle w:val="2"/>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7B541E7B">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59BE8689">
            <w:pPr>
              <w:pStyle w:val="2"/>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04954B40">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4A3B90A0">
            <w:pPr>
              <w:pStyle w:val="2"/>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5F35C611">
            <w:pPr>
              <w:pStyle w:val="2"/>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3998CFE1">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44C0C44C">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246186B7">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0BBED38F">
            <w:pPr>
              <w:pStyle w:val="2"/>
              <w:keepNext/>
              <w:spacing w:after="0" w:line="440" w:lineRule="exact"/>
              <w:ind w:left="63" w:right="63"/>
              <w:rPr>
                <w:rFonts w:eastAsia="仿宋_GB2312"/>
                <w:color w:val="000000"/>
                <w:kern w:val="2"/>
                <w:sz w:val="30"/>
                <w:szCs w:val="30"/>
                <w:lang w:val="en-US" w:eastAsia="zh-CN"/>
              </w:rPr>
            </w:pPr>
          </w:p>
        </w:tc>
      </w:tr>
    </w:tbl>
    <w:p w14:paraId="6AB030BA">
      <w:pPr>
        <w:spacing w:line="440" w:lineRule="exact"/>
        <w:rPr>
          <w:rFonts w:ascii="Times New Roman" w:hAnsi="Times New Roman" w:eastAsia="仿宋_GB2312"/>
          <w:b/>
          <w:color w:val="000000"/>
          <w:sz w:val="30"/>
          <w:szCs w:val="30"/>
        </w:rPr>
        <w:sectPr>
          <w:pgSz w:w="16838" w:h="11906" w:orient="landscape"/>
          <w:pgMar w:top="1554" w:right="1418" w:bottom="1531" w:left="1418" w:header="851" w:footer="992" w:gutter="0"/>
          <w:cols w:space="720" w:num="1"/>
          <w:titlePg/>
          <w:docGrid w:type="linesAndChars" w:linePitch="312" w:charSpace="0"/>
        </w:sectPr>
      </w:pPr>
    </w:p>
    <w:p w14:paraId="2681DAB5">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39" w:name="_Toc296346726"/>
      <w:bookmarkStart w:id="940" w:name="_Toc296891053"/>
      <w:bookmarkStart w:id="941" w:name="_Toc296503225"/>
      <w:bookmarkStart w:id="942" w:name="_Toc296347224"/>
      <w:bookmarkStart w:id="943" w:name="_Toc296891265"/>
      <w:bookmarkStart w:id="944" w:name="_Toc296944564"/>
      <w:bookmarkStart w:id="945" w:name="_Toc267261692"/>
      <w:r>
        <w:rPr>
          <w:rFonts w:ascii="Times New Roman" w:hAnsi="Times New Roman" w:eastAsia="仿宋_GB2312"/>
          <w:color w:val="000000"/>
          <w:sz w:val="30"/>
          <w:szCs w:val="30"/>
        </w:rPr>
        <w:t>件2：</w:t>
      </w:r>
    </w:p>
    <w:bookmarkEnd w:id="939"/>
    <w:bookmarkEnd w:id="940"/>
    <w:bookmarkEnd w:id="941"/>
    <w:bookmarkEnd w:id="942"/>
    <w:bookmarkEnd w:id="943"/>
    <w:bookmarkEnd w:id="944"/>
    <w:bookmarkEnd w:id="945"/>
    <w:p w14:paraId="436F2DCD">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发包人供应材料设备一览表</w:t>
      </w:r>
    </w:p>
    <w:tbl>
      <w:tblPr>
        <w:tblStyle w:val="53"/>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6393F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1DF4D45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276" w:type="dxa"/>
            <w:tcBorders>
              <w:top w:val="single" w:color="auto" w:sz="12" w:space="0"/>
              <w:bottom w:val="double" w:color="auto" w:sz="6" w:space="0"/>
            </w:tcBorders>
            <w:noWrap w:val="0"/>
            <w:vAlign w:val="center"/>
          </w:tcPr>
          <w:p w14:paraId="68C1FC6E">
            <w:pPr>
              <w:pStyle w:val="2"/>
              <w:keepNext/>
              <w:spacing w:after="0" w:line="440" w:lineRule="exact"/>
              <w:ind w:left="63" w:right="63"/>
              <w:rPr>
                <w:rFonts w:hint="eastAsia" w:eastAsia="仿宋_GB2312"/>
                <w:color w:val="000000"/>
                <w:kern w:val="2"/>
                <w:sz w:val="28"/>
                <w:szCs w:val="30"/>
                <w:lang w:val="en-US" w:eastAsia="zh-CN"/>
              </w:rPr>
            </w:pPr>
            <w:r>
              <w:rPr>
                <w:rFonts w:hint="eastAsia" w:eastAsia="仿宋_GB2312"/>
                <w:color w:val="000000"/>
                <w:kern w:val="2"/>
                <w:sz w:val="28"/>
                <w:szCs w:val="30"/>
                <w:lang w:val="en-US" w:eastAsia="zh-CN"/>
              </w:rPr>
              <w:t xml:space="preserve">  </w:t>
            </w:r>
            <w:r>
              <w:rPr>
                <w:rFonts w:eastAsia="仿宋_GB2312"/>
                <w:color w:val="000000"/>
                <w:kern w:val="2"/>
                <w:sz w:val="28"/>
                <w:szCs w:val="30"/>
                <w:lang w:val="en-US" w:eastAsia="zh-CN"/>
              </w:rPr>
              <w:t>材料、</w:t>
            </w:r>
          </w:p>
          <w:p w14:paraId="6C11A978">
            <w:pPr>
              <w:pStyle w:val="2"/>
              <w:keepNext/>
              <w:spacing w:after="0" w:line="440" w:lineRule="exact"/>
              <w:ind w:left="0" w:leftChars="0" w:right="63"/>
              <w:jc w:val="both"/>
              <w:rPr>
                <w:rFonts w:eastAsia="仿宋_GB2312"/>
                <w:color w:val="000000"/>
                <w:kern w:val="2"/>
                <w:sz w:val="28"/>
                <w:szCs w:val="30"/>
                <w:lang w:val="en-US" w:eastAsia="zh-CN"/>
              </w:rPr>
            </w:pPr>
            <w:r>
              <w:rPr>
                <w:rFonts w:eastAsia="仿宋_GB2312"/>
                <w:color w:val="000000"/>
                <w:kern w:val="2"/>
                <w:sz w:val="28"/>
                <w:szCs w:val="30"/>
                <w:lang w:val="en-US" w:eastAsia="zh-CN"/>
              </w:rPr>
              <w:t>设备品种</w:t>
            </w:r>
          </w:p>
        </w:tc>
        <w:tc>
          <w:tcPr>
            <w:tcW w:w="1418" w:type="dxa"/>
            <w:tcBorders>
              <w:top w:val="single" w:color="auto" w:sz="12" w:space="0"/>
              <w:bottom w:val="double" w:color="auto" w:sz="6" w:space="0"/>
            </w:tcBorders>
            <w:noWrap w:val="0"/>
            <w:vAlign w:val="center"/>
          </w:tcPr>
          <w:p w14:paraId="5FD1A77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规格型号</w:t>
            </w:r>
          </w:p>
        </w:tc>
        <w:tc>
          <w:tcPr>
            <w:tcW w:w="940" w:type="dxa"/>
            <w:tcBorders>
              <w:top w:val="single" w:color="auto" w:sz="12" w:space="0"/>
              <w:bottom w:val="double" w:color="auto" w:sz="6" w:space="0"/>
            </w:tcBorders>
            <w:noWrap w:val="0"/>
            <w:vAlign w:val="center"/>
          </w:tcPr>
          <w:p w14:paraId="3855943B">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w:t>
            </w:r>
          </w:p>
        </w:tc>
        <w:tc>
          <w:tcPr>
            <w:tcW w:w="851" w:type="dxa"/>
            <w:tcBorders>
              <w:top w:val="single" w:color="auto" w:sz="12" w:space="0"/>
              <w:bottom w:val="double" w:color="auto" w:sz="6" w:space="0"/>
            </w:tcBorders>
            <w:noWrap w:val="0"/>
            <w:vAlign w:val="center"/>
          </w:tcPr>
          <w:p w14:paraId="4A9E984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1044" w:type="dxa"/>
            <w:tcBorders>
              <w:top w:val="single" w:color="auto" w:sz="12" w:space="0"/>
              <w:bottom w:val="double" w:color="auto" w:sz="6" w:space="0"/>
            </w:tcBorders>
            <w:noWrap w:val="0"/>
            <w:vAlign w:val="center"/>
          </w:tcPr>
          <w:p w14:paraId="428C86E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单价</w:t>
            </w:r>
            <w:r>
              <w:rPr>
                <w:rFonts w:hint="eastAsia" w:eastAsia="仿宋_GB2312"/>
                <w:color w:val="000000"/>
                <w:kern w:val="2"/>
                <w:sz w:val="28"/>
                <w:szCs w:val="30"/>
                <w:lang w:val="en-US" w:eastAsia="zh-CN"/>
              </w:rPr>
              <w:t>（元）</w:t>
            </w:r>
          </w:p>
        </w:tc>
        <w:tc>
          <w:tcPr>
            <w:tcW w:w="992" w:type="dxa"/>
            <w:tcBorders>
              <w:top w:val="single" w:color="auto" w:sz="12" w:space="0"/>
              <w:bottom w:val="double" w:color="auto" w:sz="6" w:space="0"/>
            </w:tcBorders>
            <w:noWrap w:val="0"/>
            <w:vAlign w:val="center"/>
          </w:tcPr>
          <w:p w14:paraId="21DB488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质量等级</w:t>
            </w:r>
          </w:p>
        </w:tc>
        <w:tc>
          <w:tcPr>
            <w:tcW w:w="851" w:type="dxa"/>
            <w:tcBorders>
              <w:top w:val="single" w:color="auto" w:sz="12" w:space="0"/>
              <w:bottom w:val="double" w:color="auto" w:sz="6" w:space="0"/>
            </w:tcBorders>
            <w:noWrap w:val="0"/>
            <w:vAlign w:val="center"/>
          </w:tcPr>
          <w:p w14:paraId="263E08A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供应时间</w:t>
            </w:r>
          </w:p>
        </w:tc>
        <w:tc>
          <w:tcPr>
            <w:tcW w:w="1487" w:type="dxa"/>
            <w:tcBorders>
              <w:top w:val="single" w:color="auto" w:sz="12" w:space="0"/>
              <w:bottom w:val="double" w:color="auto" w:sz="6" w:space="0"/>
            </w:tcBorders>
            <w:noWrap w:val="0"/>
            <w:vAlign w:val="center"/>
          </w:tcPr>
          <w:p w14:paraId="7529C9E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送达地点</w:t>
            </w:r>
          </w:p>
        </w:tc>
        <w:tc>
          <w:tcPr>
            <w:tcW w:w="992" w:type="dxa"/>
            <w:tcBorders>
              <w:top w:val="single" w:color="auto" w:sz="12" w:space="0"/>
              <w:bottom w:val="double" w:color="auto" w:sz="6" w:space="0"/>
            </w:tcBorders>
            <w:noWrap w:val="0"/>
            <w:vAlign w:val="center"/>
          </w:tcPr>
          <w:p w14:paraId="210AACC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37174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62AD5287">
            <w:pPr>
              <w:pStyle w:val="2"/>
              <w:keepNext/>
              <w:spacing w:after="0" w:line="440" w:lineRule="exact"/>
              <w:ind w:left="63" w:right="63"/>
              <w:rPr>
                <w:rFonts w:eastAsia="仿宋_GB2312"/>
                <w:color w:val="000000"/>
                <w:kern w:val="2"/>
                <w:sz w:val="30"/>
                <w:szCs w:val="30"/>
                <w:lang w:val="en-US" w:eastAsia="zh-CN"/>
              </w:rPr>
            </w:pPr>
          </w:p>
        </w:tc>
        <w:tc>
          <w:tcPr>
            <w:tcW w:w="1276" w:type="dxa"/>
            <w:tcBorders>
              <w:top w:val="double" w:color="auto" w:sz="6" w:space="0"/>
              <w:bottom w:val="single" w:color="auto" w:sz="6" w:space="0"/>
            </w:tcBorders>
            <w:noWrap w:val="0"/>
            <w:vAlign w:val="center"/>
          </w:tcPr>
          <w:p w14:paraId="6884809F">
            <w:pPr>
              <w:pStyle w:val="2"/>
              <w:keepNext/>
              <w:spacing w:after="0" w:line="440" w:lineRule="exact"/>
              <w:ind w:left="63" w:right="63"/>
              <w:rPr>
                <w:rFonts w:eastAsia="仿宋_GB2312"/>
                <w:color w:val="000000"/>
                <w:kern w:val="2"/>
                <w:sz w:val="30"/>
                <w:szCs w:val="30"/>
                <w:lang w:val="en-US" w:eastAsia="zh-CN"/>
              </w:rPr>
            </w:pPr>
          </w:p>
        </w:tc>
        <w:tc>
          <w:tcPr>
            <w:tcW w:w="1418" w:type="dxa"/>
            <w:tcBorders>
              <w:top w:val="double" w:color="auto" w:sz="6" w:space="0"/>
              <w:bottom w:val="single" w:color="auto" w:sz="6" w:space="0"/>
            </w:tcBorders>
            <w:noWrap w:val="0"/>
            <w:vAlign w:val="center"/>
          </w:tcPr>
          <w:p w14:paraId="39D4C8EE">
            <w:pPr>
              <w:pStyle w:val="2"/>
              <w:keepNext/>
              <w:spacing w:after="0" w:line="440" w:lineRule="exact"/>
              <w:ind w:left="63" w:right="63"/>
              <w:rPr>
                <w:rFonts w:eastAsia="仿宋_GB2312"/>
                <w:color w:val="000000"/>
                <w:kern w:val="2"/>
                <w:sz w:val="30"/>
                <w:szCs w:val="30"/>
                <w:lang w:val="en-US" w:eastAsia="zh-CN"/>
              </w:rPr>
            </w:pPr>
          </w:p>
        </w:tc>
        <w:tc>
          <w:tcPr>
            <w:tcW w:w="940" w:type="dxa"/>
            <w:tcBorders>
              <w:top w:val="double" w:color="auto" w:sz="6" w:space="0"/>
              <w:bottom w:val="single" w:color="auto" w:sz="6" w:space="0"/>
            </w:tcBorders>
            <w:noWrap w:val="0"/>
            <w:vAlign w:val="center"/>
          </w:tcPr>
          <w:p w14:paraId="48BBC4CD">
            <w:pPr>
              <w:pStyle w:val="2"/>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765A0412">
            <w:pPr>
              <w:pStyle w:val="2"/>
              <w:keepNext/>
              <w:spacing w:after="0" w:line="440" w:lineRule="exact"/>
              <w:ind w:left="63" w:right="63"/>
              <w:rPr>
                <w:rFonts w:eastAsia="仿宋_GB2312"/>
                <w:color w:val="000000"/>
                <w:kern w:val="2"/>
                <w:sz w:val="30"/>
                <w:szCs w:val="30"/>
                <w:lang w:val="en-US" w:eastAsia="zh-CN"/>
              </w:rPr>
            </w:pPr>
          </w:p>
        </w:tc>
        <w:tc>
          <w:tcPr>
            <w:tcW w:w="1044" w:type="dxa"/>
            <w:tcBorders>
              <w:top w:val="double" w:color="auto" w:sz="6" w:space="0"/>
              <w:bottom w:val="single" w:color="auto" w:sz="6" w:space="0"/>
            </w:tcBorders>
            <w:noWrap w:val="0"/>
            <w:vAlign w:val="center"/>
          </w:tcPr>
          <w:p w14:paraId="77B02F63">
            <w:pPr>
              <w:pStyle w:val="2"/>
              <w:keepNext/>
              <w:spacing w:after="0" w:line="440" w:lineRule="exact"/>
              <w:ind w:left="63" w:right="63"/>
              <w:rPr>
                <w:rFonts w:eastAsia="仿宋_GB2312"/>
                <w:color w:val="000000"/>
                <w:kern w:val="2"/>
                <w:sz w:val="30"/>
                <w:szCs w:val="30"/>
                <w:lang w:val="en-US" w:eastAsia="zh-CN"/>
              </w:rPr>
            </w:pPr>
          </w:p>
        </w:tc>
        <w:tc>
          <w:tcPr>
            <w:tcW w:w="992" w:type="dxa"/>
            <w:tcBorders>
              <w:top w:val="double" w:color="auto" w:sz="6" w:space="0"/>
              <w:bottom w:val="single" w:color="auto" w:sz="6" w:space="0"/>
            </w:tcBorders>
            <w:noWrap w:val="0"/>
            <w:vAlign w:val="center"/>
          </w:tcPr>
          <w:p w14:paraId="110A5E38">
            <w:pPr>
              <w:pStyle w:val="2"/>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35136961">
            <w:pPr>
              <w:pStyle w:val="2"/>
              <w:keepNext/>
              <w:spacing w:after="0" w:line="440" w:lineRule="exact"/>
              <w:ind w:left="63" w:right="63"/>
              <w:rPr>
                <w:rFonts w:eastAsia="仿宋_GB2312"/>
                <w:color w:val="000000"/>
                <w:kern w:val="2"/>
                <w:sz w:val="30"/>
                <w:szCs w:val="30"/>
                <w:lang w:val="en-US" w:eastAsia="zh-CN"/>
              </w:rPr>
            </w:pPr>
          </w:p>
        </w:tc>
        <w:tc>
          <w:tcPr>
            <w:tcW w:w="1487" w:type="dxa"/>
            <w:tcBorders>
              <w:top w:val="double" w:color="auto" w:sz="6" w:space="0"/>
              <w:bottom w:val="single" w:color="auto" w:sz="6" w:space="0"/>
            </w:tcBorders>
            <w:noWrap w:val="0"/>
            <w:vAlign w:val="center"/>
          </w:tcPr>
          <w:p w14:paraId="2BABDD82">
            <w:pPr>
              <w:pStyle w:val="2"/>
              <w:keepNext/>
              <w:spacing w:after="0" w:line="440" w:lineRule="exact"/>
              <w:ind w:left="63" w:right="63"/>
              <w:rPr>
                <w:rFonts w:eastAsia="仿宋_GB2312"/>
                <w:color w:val="000000"/>
                <w:kern w:val="2"/>
                <w:sz w:val="30"/>
                <w:szCs w:val="30"/>
                <w:lang w:val="en-US" w:eastAsia="zh-CN"/>
              </w:rPr>
            </w:pPr>
          </w:p>
        </w:tc>
        <w:tc>
          <w:tcPr>
            <w:tcW w:w="992" w:type="dxa"/>
            <w:tcBorders>
              <w:top w:val="double" w:color="auto" w:sz="6" w:space="0"/>
              <w:bottom w:val="single" w:color="auto" w:sz="6" w:space="0"/>
            </w:tcBorders>
            <w:noWrap w:val="0"/>
            <w:vAlign w:val="center"/>
          </w:tcPr>
          <w:p w14:paraId="4CF056D9">
            <w:pPr>
              <w:pStyle w:val="2"/>
              <w:keepNext/>
              <w:spacing w:after="0" w:line="440" w:lineRule="exact"/>
              <w:ind w:left="63" w:right="63"/>
              <w:rPr>
                <w:rFonts w:eastAsia="仿宋_GB2312"/>
                <w:color w:val="000000"/>
                <w:kern w:val="2"/>
                <w:sz w:val="30"/>
                <w:szCs w:val="30"/>
                <w:lang w:val="en-US" w:eastAsia="zh-CN"/>
              </w:rPr>
            </w:pPr>
          </w:p>
        </w:tc>
      </w:tr>
      <w:tr w14:paraId="1832B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FCC1BB8">
            <w:pPr>
              <w:pStyle w:val="2"/>
              <w:keepNext/>
              <w:spacing w:after="0" w:line="440" w:lineRule="exact"/>
              <w:ind w:left="63" w:right="63"/>
              <w:rPr>
                <w:rFonts w:eastAsia="仿宋_GB2312"/>
                <w:color w:val="000000"/>
                <w:kern w:val="2"/>
                <w:sz w:val="30"/>
                <w:szCs w:val="30"/>
                <w:lang w:val="en-US" w:eastAsia="zh-CN"/>
              </w:rPr>
            </w:pPr>
          </w:p>
        </w:tc>
        <w:tc>
          <w:tcPr>
            <w:tcW w:w="1276" w:type="dxa"/>
            <w:tcBorders>
              <w:top w:val="nil"/>
            </w:tcBorders>
            <w:noWrap w:val="0"/>
            <w:vAlign w:val="center"/>
          </w:tcPr>
          <w:p w14:paraId="0079A2EB">
            <w:pPr>
              <w:pStyle w:val="2"/>
              <w:keepNext/>
              <w:spacing w:after="0" w:line="440" w:lineRule="exact"/>
              <w:ind w:left="63" w:right="63"/>
              <w:rPr>
                <w:rFonts w:eastAsia="仿宋_GB2312"/>
                <w:color w:val="000000"/>
                <w:kern w:val="2"/>
                <w:sz w:val="30"/>
                <w:szCs w:val="30"/>
                <w:lang w:val="en-US" w:eastAsia="zh-CN"/>
              </w:rPr>
            </w:pPr>
          </w:p>
        </w:tc>
        <w:tc>
          <w:tcPr>
            <w:tcW w:w="1418" w:type="dxa"/>
            <w:tcBorders>
              <w:top w:val="nil"/>
            </w:tcBorders>
            <w:noWrap w:val="0"/>
            <w:vAlign w:val="center"/>
          </w:tcPr>
          <w:p w14:paraId="0D77A44E">
            <w:pPr>
              <w:pStyle w:val="2"/>
              <w:keepNext/>
              <w:spacing w:after="0" w:line="440" w:lineRule="exact"/>
              <w:ind w:left="63" w:right="63"/>
              <w:rPr>
                <w:rFonts w:eastAsia="仿宋_GB2312"/>
                <w:color w:val="000000"/>
                <w:kern w:val="2"/>
                <w:sz w:val="30"/>
                <w:szCs w:val="30"/>
                <w:lang w:val="en-US" w:eastAsia="zh-CN"/>
              </w:rPr>
            </w:pPr>
          </w:p>
        </w:tc>
        <w:tc>
          <w:tcPr>
            <w:tcW w:w="940" w:type="dxa"/>
            <w:tcBorders>
              <w:top w:val="nil"/>
            </w:tcBorders>
            <w:noWrap w:val="0"/>
            <w:vAlign w:val="center"/>
          </w:tcPr>
          <w:p w14:paraId="74771C70">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2E77738F">
            <w:pPr>
              <w:pStyle w:val="2"/>
              <w:keepNext/>
              <w:spacing w:after="0" w:line="440" w:lineRule="exact"/>
              <w:ind w:left="63" w:right="63"/>
              <w:rPr>
                <w:rFonts w:eastAsia="仿宋_GB2312"/>
                <w:color w:val="000000"/>
                <w:kern w:val="2"/>
                <w:sz w:val="30"/>
                <w:szCs w:val="30"/>
                <w:lang w:val="en-US" w:eastAsia="zh-CN"/>
              </w:rPr>
            </w:pPr>
          </w:p>
        </w:tc>
        <w:tc>
          <w:tcPr>
            <w:tcW w:w="1044" w:type="dxa"/>
            <w:tcBorders>
              <w:top w:val="nil"/>
            </w:tcBorders>
            <w:noWrap w:val="0"/>
            <w:vAlign w:val="center"/>
          </w:tcPr>
          <w:p w14:paraId="7B08C9AA">
            <w:pPr>
              <w:pStyle w:val="2"/>
              <w:keepNext/>
              <w:spacing w:after="0" w:line="440" w:lineRule="exact"/>
              <w:ind w:left="63" w:right="63"/>
              <w:rPr>
                <w:rFonts w:eastAsia="仿宋_GB2312"/>
                <w:color w:val="000000"/>
                <w:kern w:val="2"/>
                <w:sz w:val="30"/>
                <w:szCs w:val="30"/>
                <w:lang w:val="en-US" w:eastAsia="zh-CN"/>
              </w:rPr>
            </w:pPr>
          </w:p>
        </w:tc>
        <w:tc>
          <w:tcPr>
            <w:tcW w:w="992" w:type="dxa"/>
            <w:tcBorders>
              <w:top w:val="nil"/>
            </w:tcBorders>
            <w:noWrap w:val="0"/>
            <w:vAlign w:val="center"/>
          </w:tcPr>
          <w:p w14:paraId="4A8E0279">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0379E3DA">
            <w:pPr>
              <w:pStyle w:val="2"/>
              <w:keepNext/>
              <w:spacing w:after="0" w:line="440" w:lineRule="exact"/>
              <w:ind w:left="63" w:right="63"/>
              <w:rPr>
                <w:rFonts w:eastAsia="仿宋_GB2312"/>
                <w:color w:val="000000"/>
                <w:kern w:val="2"/>
                <w:sz w:val="30"/>
                <w:szCs w:val="30"/>
                <w:lang w:val="en-US" w:eastAsia="zh-CN"/>
              </w:rPr>
            </w:pPr>
          </w:p>
        </w:tc>
        <w:tc>
          <w:tcPr>
            <w:tcW w:w="1487" w:type="dxa"/>
            <w:tcBorders>
              <w:top w:val="nil"/>
            </w:tcBorders>
            <w:noWrap w:val="0"/>
            <w:vAlign w:val="center"/>
          </w:tcPr>
          <w:p w14:paraId="5098C5D1">
            <w:pPr>
              <w:pStyle w:val="2"/>
              <w:keepNext/>
              <w:spacing w:after="0" w:line="440" w:lineRule="exact"/>
              <w:ind w:left="63" w:right="63"/>
              <w:rPr>
                <w:rFonts w:eastAsia="仿宋_GB2312"/>
                <w:color w:val="000000"/>
                <w:kern w:val="2"/>
                <w:sz w:val="30"/>
                <w:szCs w:val="30"/>
                <w:lang w:val="en-US" w:eastAsia="zh-CN"/>
              </w:rPr>
            </w:pPr>
          </w:p>
        </w:tc>
        <w:tc>
          <w:tcPr>
            <w:tcW w:w="992" w:type="dxa"/>
            <w:tcBorders>
              <w:top w:val="nil"/>
            </w:tcBorders>
            <w:noWrap w:val="0"/>
            <w:vAlign w:val="center"/>
          </w:tcPr>
          <w:p w14:paraId="10ECC1BE">
            <w:pPr>
              <w:pStyle w:val="2"/>
              <w:keepNext/>
              <w:spacing w:after="0" w:line="440" w:lineRule="exact"/>
              <w:ind w:left="63" w:right="63"/>
              <w:rPr>
                <w:rFonts w:eastAsia="仿宋_GB2312"/>
                <w:color w:val="000000"/>
                <w:kern w:val="2"/>
                <w:sz w:val="30"/>
                <w:szCs w:val="30"/>
                <w:lang w:val="en-US" w:eastAsia="zh-CN"/>
              </w:rPr>
            </w:pPr>
          </w:p>
        </w:tc>
      </w:tr>
      <w:tr w14:paraId="4B162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85A31E">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4D693196">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423A2C24">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6E3E264B">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C844EE2">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731CF1B2">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159EE16B">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5BE69BFF">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4106548B">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4700D6E9">
            <w:pPr>
              <w:pStyle w:val="2"/>
              <w:keepNext/>
              <w:spacing w:after="0" w:line="440" w:lineRule="exact"/>
              <w:ind w:left="63" w:right="63"/>
              <w:rPr>
                <w:rFonts w:eastAsia="仿宋_GB2312"/>
                <w:color w:val="000000"/>
                <w:kern w:val="2"/>
                <w:sz w:val="30"/>
                <w:szCs w:val="30"/>
                <w:lang w:val="en-US" w:eastAsia="zh-CN"/>
              </w:rPr>
            </w:pPr>
          </w:p>
        </w:tc>
      </w:tr>
      <w:tr w14:paraId="5C8C2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709BDD">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54E6D1A7">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23DA7C61">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70345AA7">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6CA4B436">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0025FE79">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670E7B51">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E54D893">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3514B97E">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7B65FF3B">
            <w:pPr>
              <w:pStyle w:val="2"/>
              <w:keepNext/>
              <w:spacing w:after="0" w:line="440" w:lineRule="exact"/>
              <w:ind w:left="63" w:right="63"/>
              <w:rPr>
                <w:rFonts w:eastAsia="仿宋_GB2312"/>
                <w:color w:val="000000"/>
                <w:kern w:val="2"/>
                <w:sz w:val="30"/>
                <w:szCs w:val="30"/>
                <w:lang w:val="en-US" w:eastAsia="zh-CN"/>
              </w:rPr>
            </w:pPr>
          </w:p>
        </w:tc>
      </w:tr>
      <w:tr w14:paraId="1A34E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FABBF10">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2CD1D3D0">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86F6E33">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407161AC">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765E88A0">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4A55C0D4">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312CE064">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44AE3D40">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4507CAA3">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6B55C438">
            <w:pPr>
              <w:pStyle w:val="2"/>
              <w:keepNext/>
              <w:spacing w:after="0" w:line="440" w:lineRule="exact"/>
              <w:ind w:left="63" w:right="63"/>
              <w:rPr>
                <w:rFonts w:eastAsia="仿宋_GB2312"/>
                <w:color w:val="000000"/>
                <w:kern w:val="2"/>
                <w:sz w:val="30"/>
                <w:szCs w:val="30"/>
                <w:lang w:val="en-US" w:eastAsia="zh-CN"/>
              </w:rPr>
            </w:pPr>
          </w:p>
        </w:tc>
      </w:tr>
      <w:tr w14:paraId="1DD09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6AAF87">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337CB10D">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207D33EC">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23F69198">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240BE421">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7E79164F">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091A4491">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6C8A3DBF">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7698F71A">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7C29661B">
            <w:pPr>
              <w:pStyle w:val="2"/>
              <w:keepNext/>
              <w:spacing w:after="0" w:line="440" w:lineRule="exact"/>
              <w:ind w:left="63" w:right="63"/>
              <w:rPr>
                <w:rFonts w:eastAsia="仿宋_GB2312"/>
                <w:color w:val="000000"/>
                <w:kern w:val="2"/>
                <w:sz w:val="30"/>
                <w:szCs w:val="30"/>
                <w:lang w:val="en-US" w:eastAsia="zh-CN"/>
              </w:rPr>
            </w:pPr>
          </w:p>
        </w:tc>
      </w:tr>
      <w:tr w14:paraId="4776A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117020">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717232A0">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1DA0EF14">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610CF695">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B28023E">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6FFA687D">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53C75EF9">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275E4AEC">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31588616">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4388551A">
            <w:pPr>
              <w:pStyle w:val="2"/>
              <w:keepNext/>
              <w:spacing w:after="0" w:line="440" w:lineRule="exact"/>
              <w:ind w:left="63" w:right="63"/>
              <w:rPr>
                <w:rFonts w:eastAsia="仿宋_GB2312"/>
                <w:color w:val="000000"/>
                <w:kern w:val="2"/>
                <w:sz w:val="30"/>
                <w:szCs w:val="30"/>
                <w:lang w:val="en-US" w:eastAsia="zh-CN"/>
              </w:rPr>
            </w:pPr>
          </w:p>
        </w:tc>
      </w:tr>
      <w:tr w14:paraId="1FD0A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C8EBA5">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421E796C">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428FD15A">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244E72B4">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69C3F4E9">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326DE11E">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5B41C1D5">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0C5DB112">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42E968D4">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03D89C9E">
            <w:pPr>
              <w:pStyle w:val="2"/>
              <w:keepNext/>
              <w:spacing w:after="0" w:line="440" w:lineRule="exact"/>
              <w:ind w:left="63" w:right="63"/>
              <w:rPr>
                <w:rFonts w:eastAsia="仿宋_GB2312"/>
                <w:color w:val="000000"/>
                <w:kern w:val="2"/>
                <w:sz w:val="30"/>
                <w:szCs w:val="30"/>
                <w:lang w:val="en-US" w:eastAsia="zh-CN"/>
              </w:rPr>
            </w:pPr>
          </w:p>
        </w:tc>
      </w:tr>
      <w:tr w14:paraId="6EE1A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D6ECDEF">
            <w:pPr>
              <w:jc w:val="center"/>
              <w:rPr>
                <w:rFonts w:eastAsia="仿宋_GB2312"/>
                <w:color w:val="000000"/>
                <w:sz w:val="30"/>
                <w:szCs w:val="30"/>
              </w:rPr>
            </w:pPr>
          </w:p>
        </w:tc>
        <w:tc>
          <w:tcPr>
            <w:tcW w:w="1276" w:type="dxa"/>
            <w:noWrap w:val="0"/>
            <w:vAlign w:val="center"/>
          </w:tcPr>
          <w:p w14:paraId="4A625249">
            <w:pPr>
              <w:jc w:val="center"/>
              <w:rPr>
                <w:rFonts w:eastAsia="仿宋_GB2312"/>
                <w:color w:val="000000"/>
                <w:sz w:val="30"/>
                <w:szCs w:val="30"/>
              </w:rPr>
            </w:pPr>
          </w:p>
        </w:tc>
        <w:tc>
          <w:tcPr>
            <w:tcW w:w="1418" w:type="dxa"/>
            <w:noWrap w:val="0"/>
            <w:vAlign w:val="center"/>
          </w:tcPr>
          <w:p w14:paraId="3EA051E5">
            <w:pPr>
              <w:jc w:val="center"/>
              <w:rPr>
                <w:rFonts w:eastAsia="仿宋_GB2312"/>
                <w:color w:val="000000"/>
                <w:sz w:val="30"/>
                <w:szCs w:val="30"/>
              </w:rPr>
            </w:pPr>
          </w:p>
        </w:tc>
        <w:tc>
          <w:tcPr>
            <w:tcW w:w="940" w:type="dxa"/>
            <w:noWrap w:val="0"/>
            <w:vAlign w:val="center"/>
          </w:tcPr>
          <w:p w14:paraId="2AE1D2F9">
            <w:pPr>
              <w:jc w:val="center"/>
              <w:rPr>
                <w:rFonts w:eastAsia="仿宋_GB2312"/>
                <w:color w:val="000000"/>
                <w:sz w:val="30"/>
                <w:szCs w:val="30"/>
              </w:rPr>
            </w:pPr>
          </w:p>
        </w:tc>
        <w:tc>
          <w:tcPr>
            <w:tcW w:w="851" w:type="dxa"/>
            <w:noWrap w:val="0"/>
            <w:vAlign w:val="center"/>
          </w:tcPr>
          <w:p w14:paraId="3AD41C56">
            <w:pPr>
              <w:jc w:val="center"/>
              <w:rPr>
                <w:rFonts w:eastAsia="仿宋_GB2312"/>
                <w:color w:val="000000"/>
                <w:sz w:val="30"/>
                <w:szCs w:val="30"/>
              </w:rPr>
            </w:pPr>
          </w:p>
        </w:tc>
        <w:tc>
          <w:tcPr>
            <w:tcW w:w="1044" w:type="dxa"/>
            <w:noWrap w:val="0"/>
            <w:vAlign w:val="center"/>
          </w:tcPr>
          <w:p w14:paraId="52F80A0C">
            <w:pPr>
              <w:jc w:val="center"/>
              <w:rPr>
                <w:rFonts w:eastAsia="仿宋_GB2312"/>
                <w:color w:val="000000"/>
                <w:sz w:val="30"/>
                <w:szCs w:val="30"/>
              </w:rPr>
            </w:pPr>
          </w:p>
        </w:tc>
        <w:tc>
          <w:tcPr>
            <w:tcW w:w="992" w:type="dxa"/>
            <w:noWrap w:val="0"/>
            <w:vAlign w:val="center"/>
          </w:tcPr>
          <w:p w14:paraId="157DE5BB">
            <w:pPr>
              <w:jc w:val="center"/>
              <w:rPr>
                <w:rFonts w:eastAsia="仿宋_GB2312"/>
                <w:color w:val="000000"/>
                <w:sz w:val="30"/>
                <w:szCs w:val="30"/>
              </w:rPr>
            </w:pPr>
          </w:p>
        </w:tc>
        <w:tc>
          <w:tcPr>
            <w:tcW w:w="851" w:type="dxa"/>
            <w:noWrap w:val="0"/>
            <w:vAlign w:val="center"/>
          </w:tcPr>
          <w:p w14:paraId="20CB0ACD">
            <w:pPr>
              <w:jc w:val="center"/>
              <w:rPr>
                <w:rFonts w:eastAsia="仿宋_GB2312"/>
                <w:color w:val="000000"/>
                <w:sz w:val="30"/>
                <w:szCs w:val="30"/>
              </w:rPr>
            </w:pPr>
          </w:p>
        </w:tc>
        <w:tc>
          <w:tcPr>
            <w:tcW w:w="1487" w:type="dxa"/>
            <w:noWrap w:val="0"/>
            <w:vAlign w:val="center"/>
          </w:tcPr>
          <w:p w14:paraId="2171E0F3">
            <w:pPr>
              <w:jc w:val="center"/>
              <w:rPr>
                <w:rFonts w:eastAsia="仿宋_GB2312"/>
                <w:color w:val="000000"/>
                <w:sz w:val="30"/>
                <w:szCs w:val="30"/>
              </w:rPr>
            </w:pPr>
          </w:p>
        </w:tc>
        <w:tc>
          <w:tcPr>
            <w:tcW w:w="992" w:type="dxa"/>
            <w:noWrap w:val="0"/>
            <w:vAlign w:val="center"/>
          </w:tcPr>
          <w:p w14:paraId="7CF6A56F">
            <w:pPr>
              <w:jc w:val="center"/>
              <w:rPr>
                <w:rFonts w:eastAsia="仿宋_GB2312"/>
                <w:color w:val="000000"/>
                <w:sz w:val="30"/>
                <w:szCs w:val="30"/>
              </w:rPr>
            </w:pPr>
          </w:p>
        </w:tc>
      </w:tr>
      <w:tr w14:paraId="7C1CD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5A43E5F">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41826E29">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A034EB4">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256D6401">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06CA2DB5">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6117DA3C">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5ACD40FF">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02F05025">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10EA868E">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528F224E">
            <w:pPr>
              <w:pStyle w:val="2"/>
              <w:keepNext/>
              <w:spacing w:after="0" w:line="440" w:lineRule="exact"/>
              <w:ind w:left="63" w:right="63"/>
              <w:rPr>
                <w:rFonts w:eastAsia="仿宋_GB2312"/>
                <w:color w:val="000000"/>
                <w:kern w:val="2"/>
                <w:sz w:val="30"/>
                <w:szCs w:val="30"/>
                <w:lang w:val="en-US" w:eastAsia="zh-CN"/>
              </w:rPr>
            </w:pPr>
          </w:p>
        </w:tc>
      </w:tr>
      <w:tr w14:paraId="25EC1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334C5EF">
            <w:pPr>
              <w:jc w:val="center"/>
              <w:rPr>
                <w:rFonts w:eastAsia="仿宋_GB2312"/>
                <w:color w:val="000000"/>
                <w:sz w:val="30"/>
                <w:szCs w:val="30"/>
              </w:rPr>
            </w:pPr>
          </w:p>
        </w:tc>
        <w:tc>
          <w:tcPr>
            <w:tcW w:w="1276" w:type="dxa"/>
            <w:noWrap w:val="0"/>
            <w:vAlign w:val="center"/>
          </w:tcPr>
          <w:p w14:paraId="3427F7C8">
            <w:pPr>
              <w:jc w:val="center"/>
              <w:rPr>
                <w:rFonts w:eastAsia="仿宋_GB2312"/>
                <w:color w:val="000000"/>
                <w:sz w:val="30"/>
                <w:szCs w:val="30"/>
              </w:rPr>
            </w:pPr>
          </w:p>
        </w:tc>
        <w:tc>
          <w:tcPr>
            <w:tcW w:w="1418" w:type="dxa"/>
            <w:noWrap w:val="0"/>
            <w:vAlign w:val="center"/>
          </w:tcPr>
          <w:p w14:paraId="4AA0AC71">
            <w:pPr>
              <w:jc w:val="center"/>
              <w:rPr>
                <w:rFonts w:eastAsia="仿宋_GB2312"/>
                <w:color w:val="000000"/>
                <w:sz w:val="30"/>
                <w:szCs w:val="30"/>
              </w:rPr>
            </w:pPr>
          </w:p>
        </w:tc>
        <w:tc>
          <w:tcPr>
            <w:tcW w:w="940" w:type="dxa"/>
            <w:noWrap w:val="0"/>
            <w:vAlign w:val="center"/>
          </w:tcPr>
          <w:p w14:paraId="0353D9F1">
            <w:pPr>
              <w:jc w:val="center"/>
              <w:rPr>
                <w:rFonts w:eastAsia="仿宋_GB2312"/>
                <w:color w:val="000000"/>
                <w:sz w:val="30"/>
                <w:szCs w:val="30"/>
              </w:rPr>
            </w:pPr>
          </w:p>
        </w:tc>
        <w:tc>
          <w:tcPr>
            <w:tcW w:w="851" w:type="dxa"/>
            <w:noWrap w:val="0"/>
            <w:vAlign w:val="center"/>
          </w:tcPr>
          <w:p w14:paraId="363E1359">
            <w:pPr>
              <w:jc w:val="center"/>
              <w:rPr>
                <w:rFonts w:eastAsia="仿宋_GB2312"/>
                <w:color w:val="000000"/>
                <w:sz w:val="30"/>
                <w:szCs w:val="30"/>
              </w:rPr>
            </w:pPr>
          </w:p>
        </w:tc>
        <w:tc>
          <w:tcPr>
            <w:tcW w:w="1044" w:type="dxa"/>
            <w:noWrap w:val="0"/>
            <w:vAlign w:val="center"/>
          </w:tcPr>
          <w:p w14:paraId="2CEA80FF">
            <w:pPr>
              <w:jc w:val="center"/>
              <w:rPr>
                <w:rFonts w:eastAsia="仿宋_GB2312"/>
                <w:color w:val="000000"/>
                <w:sz w:val="30"/>
                <w:szCs w:val="30"/>
              </w:rPr>
            </w:pPr>
          </w:p>
        </w:tc>
        <w:tc>
          <w:tcPr>
            <w:tcW w:w="992" w:type="dxa"/>
            <w:noWrap w:val="0"/>
            <w:vAlign w:val="center"/>
          </w:tcPr>
          <w:p w14:paraId="5B6C0033">
            <w:pPr>
              <w:jc w:val="center"/>
              <w:rPr>
                <w:rFonts w:eastAsia="仿宋_GB2312"/>
                <w:color w:val="000000"/>
                <w:sz w:val="30"/>
                <w:szCs w:val="30"/>
              </w:rPr>
            </w:pPr>
          </w:p>
        </w:tc>
        <w:tc>
          <w:tcPr>
            <w:tcW w:w="851" w:type="dxa"/>
            <w:noWrap w:val="0"/>
            <w:vAlign w:val="center"/>
          </w:tcPr>
          <w:p w14:paraId="0743194B">
            <w:pPr>
              <w:jc w:val="center"/>
              <w:rPr>
                <w:rFonts w:eastAsia="仿宋_GB2312"/>
                <w:color w:val="000000"/>
                <w:sz w:val="30"/>
                <w:szCs w:val="30"/>
              </w:rPr>
            </w:pPr>
          </w:p>
        </w:tc>
        <w:tc>
          <w:tcPr>
            <w:tcW w:w="1487" w:type="dxa"/>
            <w:noWrap w:val="0"/>
            <w:vAlign w:val="center"/>
          </w:tcPr>
          <w:p w14:paraId="0F007EAA">
            <w:pPr>
              <w:jc w:val="center"/>
              <w:rPr>
                <w:rFonts w:eastAsia="仿宋_GB2312"/>
                <w:color w:val="000000"/>
                <w:sz w:val="30"/>
                <w:szCs w:val="30"/>
              </w:rPr>
            </w:pPr>
          </w:p>
        </w:tc>
        <w:tc>
          <w:tcPr>
            <w:tcW w:w="992" w:type="dxa"/>
            <w:noWrap w:val="0"/>
            <w:vAlign w:val="center"/>
          </w:tcPr>
          <w:p w14:paraId="68DD62E0">
            <w:pPr>
              <w:jc w:val="center"/>
              <w:rPr>
                <w:rFonts w:eastAsia="仿宋_GB2312"/>
                <w:color w:val="000000"/>
                <w:sz w:val="30"/>
                <w:szCs w:val="30"/>
              </w:rPr>
            </w:pPr>
          </w:p>
        </w:tc>
      </w:tr>
      <w:tr w14:paraId="40A8E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97F352">
            <w:pPr>
              <w:jc w:val="center"/>
              <w:rPr>
                <w:rFonts w:eastAsia="仿宋_GB2312"/>
                <w:color w:val="000000"/>
                <w:sz w:val="30"/>
                <w:szCs w:val="30"/>
              </w:rPr>
            </w:pPr>
          </w:p>
        </w:tc>
        <w:tc>
          <w:tcPr>
            <w:tcW w:w="1276" w:type="dxa"/>
            <w:noWrap w:val="0"/>
            <w:vAlign w:val="center"/>
          </w:tcPr>
          <w:p w14:paraId="726B024E">
            <w:pPr>
              <w:jc w:val="center"/>
              <w:rPr>
                <w:rFonts w:eastAsia="仿宋_GB2312"/>
                <w:color w:val="000000"/>
                <w:sz w:val="30"/>
                <w:szCs w:val="30"/>
              </w:rPr>
            </w:pPr>
          </w:p>
        </w:tc>
        <w:tc>
          <w:tcPr>
            <w:tcW w:w="1418" w:type="dxa"/>
            <w:noWrap w:val="0"/>
            <w:vAlign w:val="center"/>
          </w:tcPr>
          <w:p w14:paraId="0A90D398">
            <w:pPr>
              <w:jc w:val="center"/>
              <w:rPr>
                <w:rFonts w:eastAsia="仿宋_GB2312"/>
                <w:color w:val="000000"/>
                <w:sz w:val="30"/>
                <w:szCs w:val="30"/>
              </w:rPr>
            </w:pPr>
          </w:p>
        </w:tc>
        <w:tc>
          <w:tcPr>
            <w:tcW w:w="940" w:type="dxa"/>
            <w:noWrap w:val="0"/>
            <w:vAlign w:val="center"/>
          </w:tcPr>
          <w:p w14:paraId="17F04EB0">
            <w:pPr>
              <w:jc w:val="center"/>
              <w:rPr>
                <w:rFonts w:eastAsia="仿宋_GB2312"/>
                <w:color w:val="000000"/>
                <w:sz w:val="30"/>
                <w:szCs w:val="30"/>
              </w:rPr>
            </w:pPr>
          </w:p>
        </w:tc>
        <w:tc>
          <w:tcPr>
            <w:tcW w:w="851" w:type="dxa"/>
            <w:noWrap w:val="0"/>
            <w:vAlign w:val="center"/>
          </w:tcPr>
          <w:p w14:paraId="70402B19">
            <w:pPr>
              <w:jc w:val="center"/>
              <w:rPr>
                <w:rFonts w:eastAsia="仿宋_GB2312"/>
                <w:color w:val="000000"/>
                <w:sz w:val="30"/>
                <w:szCs w:val="30"/>
              </w:rPr>
            </w:pPr>
          </w:p>
        </w:tc>
        <w:tc>
          <w:tcPr>
            <w:tcW w:w="1044" w:type="dxa"/>
            <w:noWrap w:val="0"/>
            <w:vAlign w:val="center"/>
          </w:tcPr>
          <w:p w14:paraId="761210C3">
            <w:pPr>
              <w:jc w:val="center"/>
              <w:rPr>
                <w:rFonts w:eastAsia="仿宋_GB2312"/>
                <w:color w:val="000000"/>
                <w:sz w:val="30"/>
                <w:szCs w:val="30"/>
              </w:rPr>
            </w:pPr>
          </w:p>
        </w:tc>
        <w:tc>
          <w:tcPr>
            <w:tcW w:w="992" w:type="dxa"/>
            <w:noWrap w:val="0"/>
            <w:vAlign w:val="center"/>
          </w:tcPr>
          <w:p w14:paraId="44EBD348">
            <w:pPr>
              <w:jc w:val="center"/>
              <w:rPr>
                <w:rFonts w:eastAsia="仿宋_GB2312"/>
                <w:color w:val="000000"/>
                <w:sz w:val="30"/>
                <w:szCs w:val="30"/>
              </w:rPr>
            </w:pPr>
          </w:p>
        </w:tc>
        <w:tc>
          <w:tcPr>
            <w:tcW w:w="851" w:type="dxa"/>
            <w:noWrap w:val="0"/>
            <w:vAlign w:val="center"/>
          </w:tcPr>
          <w:p w14:paraId="4E8E3709">
            <w:pPr>
              <w:jc w:val="center"/>
              <w:rPr>
                <w:rFonts w:eastAsia="仿宋_GB2312"/>
                <w:color w:val="000000"/>
                <w:sz w:val="30"/>
                <w:szCs w:val="30"/>
              </w:rPr>
            </w:pPr>
          </w:p>
        </w:tc>
        <w:tc>
          <w:tcPr>
            <w:tcW w:w="1487" w:type="dxa"/>
            <w:noWrap w:val="0"/>
            <w:vAlign w:val="center"/>
          </w:tcPr>
          <w:p w14:paraId="1556571A">
            <w:pPr>
              <w:jc w:val="center"/>
              <w:rPr>
                <w:rFonts w:eastAsia="仿宋_GB2312"/>
                <w:color w:val="000000"/>
                <w:sz w:val="30"/>
                <w:szCs w:val="30"/>
              </w:rPr>
            </w:pPr>
          </w:p>
        </w:tc>
        <w:tc>
          <w:tcPr>
            <w:tcW w:w="992" w:type="dxa"/>
            <w:noWrap w:val="0"/>
            <w:vAlign w:val="center"/>
          </w:tcPr>
          <w:p w14:paraId="78851545">
            <w:pPr>
              <w:jc w:val="center"/>
              <w:rPr>
                <w:rFonts w:eastAsia="仿宋_GB2312"/>
                <w:color w:val="000000"/>
                <w:sz w:val="30"/>
                <w:szCs w:val="30"/>
              </w:rPr>
            </w:pPr>
          </w:p>
        </w:tc>
      </w:tr>
      <w:tr w14:paraId="77B15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E55BAAB">
            <w:pPr>
              <w:jc w:val="center"/>
              <w:rPr>
                <w:rFonts w:eastAsia="仿宋_GB2312"/>
                <w:color w:val="000000"/>
                <w:sz w:val="30"/>
                <w:szCs w:val="30"/>
              </w:rPr>
            </w:pPr>
          </w:p>
        </w:tc>
        <w:tc>
          <w:tcPr>
            <w:tcW w:w="1276" w:type="dxa"/>
            <w:noWrap w:val="0"/>
            <w:vAlign w:val="center"/>
          </w:tcPr>
          <w:p w14:paraId="57DC08BE">
            <w:pPr>
              <w:jc w:val="center"/>
              <w:rPr>
                <w:rFonts w:eastAsia="仿宋_GB2312"/>
                <w:color w:val="000000"/>
                <w:sz w:val="30"/>
                <w:szCs w:val="30"/>
              </w:rPr>
            </w:pPr>
          </w:p>
        </w:tc>
        <w:tc>
          <w:tcPr>
            <w:tcW w:w="1418" w:type="dxa"/>
            <w:noWrap w:val="0"/>
            <w:vAlign w:val="center"/>
          </w:tcPr>
          <w:p w14:paraId="59F700D1">
            <w:pPr>
              <w:jc w:val="center"/>
              <w:rPr>
                <w:rFonts w:eastAsia="仿宋_GB2312"/>
                <w:color w:val="000000"/>
                <w:sz w:val="30"/>
                <w:szCs w:val="30"/>
              </w:rPr>
            </w:pPr>
          </w:p>
        </w:tc>
        <w:tc>
          <w:tcPr>
            <w:tcW w:w="940" w:type="dxa"/>
            <w:noWrap w:val="0"/>
            <w:vAlign w:val="center"/>
          </w:tcPr>
          <w:p w14:paraId="02FECAC7">
            <w:pPr>
              <w:jc w:val="center"/>
              <w:rPr>
                <w:rFonts w:eastAsia="仿宋_GB2312"/>
                <w:color w:val="000000"/>
                <w:sz w:val="30"/>
                <w:szCs w:val="30"/>
              </w:rPr>
            </w:pPr>
          </w:p>
        </w:tc>
        <w:tc>
          <w:tcPr>
            <w:tcW w:w="851" w:type="dxa"/>
            <w:noWrap w:val="0"/>
            <w:vAlign w:val="center"/>
          </w:tcPr>
          <w:p w14:paraId="6D373FBF">
            <w:pPr>
              <w:jc w:val="center"/>
              <w:rPr>
                <w:rFonts w:eastAsia="仿宋_GB2312"/>
                <w:color w:val="000000"/>
                <w:sz w:val="30"/>
                <w:szCs w:val="30"/>
              </w:rPr>
            </w:pPr>
          </w:p>
        </w:tc>
        <w:tc>
          <w:tcPr>
            <w:tcW w:w="1044" w:type="dxa"/>
            <w:noWrap w:val="0"/>
            <w:vAlign w:val="center"/>
          </w:tcPr>
          <w:p w14:paraId="73D454E1">
            <w:pPr>
              <w:jc w:val="center"/>
              <w:rPr>
                <w:rFonts w:eastAsia="仿宋_GB2312"/>
                <w:color w:val="000000"/>
                <w:sz w:val="30"/>
                <w:szCs w:val="30"/>
              </w:rPr>
            </w:pPr>
          </w:p>
        </w:tc>
        <w:tc>
          <w:tcPr>
            <w:tcW w:w="992" w:type="dxa"/>
            <w:noWrap w:val="0"/>
            <w:vAlign w:val="center"/>
          </w:tcPr>
          <w:p w14:paraId="002EE2E4">
            <w:pPr>
              <w:jc w:val="center"/>
              <w:rPr>
                <w:rFonts w:eastAsia="仿宋_GB2312"/>
                <w:color w:val="000000"/>
                <w:sz w:val="30"/>
                <w:szCs w:val="30"/>
              </w:rPr>
            </w:pPr>
          </w:p>
        </w:tc>
        <w:tc>
          <w:tcPr>
            <w:tcW w:w="851" w:type="dxa"/>
            <w:noWrap w:val="0"/>
            <w:vAlign w:val="center"/>
          </w:tcPr>
          <w:p w14:paraId="6644DD06">
            <w:pPr>
              <w:jc w:val="center"/>
              <w:rPr>
                <w:rFonts w:eastAsia="仿宋_GB2312"/>
                <w:color w:val="000000"/>
                <w:sz w:val="30"/>
                <w:szCs w:val="30"/>
              </w:rPr>
            </w:pPr>
          </w:p>
        </w:tc>
        <w:tc>
          <w:tcPr>
            <w:tcW w:w="1487" w:type="dxa"/>
            <w:noWrap w:val="0"/>
            <w:vAlign w:val="center"/>
          </w:tcPr>
          <w:p w14:paraId="56F8CE7F">
            <w:pPr>
              <w:jc w:val="center"/>
              <w:rPr>
                <w:rFonts w:eastAsia="仿宋_GB2312"/>
                <w:color w:val="000000"/>
                <w:sz w:val="30"/>
                <w:szCs w:val="30"/>
              </w:rPr>
            </w:pPr>
          </w:p>
        </w:tc>
        <w:tc>
          <w:tcPr>
            <w:tcW w:w="992" w:type="dxa"/>
            <w:noWrap w:val="0"/>
            <w:vAlign w:val="center"/>
          </w:tcPr>
          <w:p w14:paraId="246593A8">
            <w:pPr>
              <w:jc w:val="center"/>
              <w:rPr>
                <w:rFonts w:eastAsia="仿宋_GB2312"/>
                <w:color w:val="000000"/>
                <w:sz w:val="30"/>
                <w:szCs w:val="30"/>
              </w:rPr>
            </w:pPr>
          </w:p>
        </w:tc>
      </w:tr>
      <w:tr w14:paraId="2ECD9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6126996">
            <w:pPr>
              <w:jc w:val="center"/>
              <w:rPr>
                <w:rFonts w:eastAsia="仿宋_GB2312"/>
                <w:color w:val="000000"/>
                <w:sz w:val="30"/>
                <w:szCs w:val="30"/>
              </w:rPr>
            </w:pPr>
          </w:p>
        </w:tc>
        <w:tc>
          <w:tcPr>
            <w:tcW w:w="1276" w:type="dxa"/>
            <w:noWrap w:val="0"/>
            <w:vAlign w:val="center"/>
          </w:tcPr>
          <w:p w14:paraId="6AA097B0">
            <w:pPr>
              <w:jc w:val="center"/>
              <w:rPr>
                <w:rFonts w:eastAsia="仿宋_GB2312"/>
                <w:color w:val="000000"/>
                <w:sz w:val="30"/>
                <w:szCs w:val="30"/>
              </w:rPr>
            </w:pPr>
          </w:p>
        </w:tc>
        <w:tc>
          <w:tcPr>
            <w:tcW w:w="1418" w:type="dxa"/>
            <w:noWrap w:val="0"/>
            <w:vAlign w:val="center"/>
          </w:tcPr>
          <w:p w14:paraId="61EE3BB9">
            <w:pPr>
              <w:jc w:val="center"/>
              <w:rPr>
                <w:rFonts w:eastAsia="仿宋_GB2312"/>
                <w:color w:val="000000"/>
                <w:sz w:val="30"/>
                <w:szCs w:val="30"/>
              </w:rPr>
            </w:pPr>
          </w:p>
        </w:tc>
        <w:tc>
          <w:tcPr>
            <w:tcW w:w="940" w:type="dxa"/>
            <w:noWrap w:val="0"/>
            <w:vAlign w:val="center"/>
          </w:tcPr>
          <w:p w14:paraId="78D1E737">
            <w:pPr>
              <w:jc w:val="center"/>
              <w:rPr>
                <w:rFonts w:eastAsia="仿宋_GB2312"/>
                <w:color w:val="000000"/>
                <w:sz w:val="30"/>
                <w:szCs w:val="30"/>
              </w:rPr>
            </w:pPr>
          </w:p>
        </w:tc>
        <w:tc>
          <w:tcPr>
            <w:tcW w:w="851" w:type="dxa"/>
            <w:noWrap w:val="0"/>
            <w:vAlign w:val="center"/>
          </w:tcPr>
          <w:p w14:paraId="67062DEF">
            <w:pPr>
              <w:jc w:val="center"/>
              <w:rPr>
                <w:rFonts w:eastAsia="仿宋_GB2312"/>
                <w:color w:val="000000"/>
                <w:sz w:val="30"/>
                <w:szCs w:val="30"/>
              </w:rPr>
            </w:pPr>
          </w:p>
        </w:tc>
        <w:tc>
          <w:tcPr>
            <w:tcW w:w="1044" w:type="dxa"/>
            <w:noWrap w:val="0"/>
            <w:vAlign w:val="center"/>
          </w:tcPr>
          <w:p w14:paraId="6651C3D7">
            <w:pPr>
              <w:jc w:val="center"/>
              <w:rPr>
                <w:rFonts w:eastAsia="仿宋_GB2312"/>
                <w:color w:val="000000"/>
                <w:sz w:val="30"/>
                <w:szCs w:val="30"/>
              </w:rPr>
            </w:pPr>
          </w:p>
        </w:tc>
        <w:tc>
          <w:tcPr>
            <w:tcW w:w="992" w:type="dxa"/>
            <w:noWrap w:val="0"/>
            <w:vAlign w:val="center"/>
          </w:tcPr>
          <w:p w14:paraId="438F4BDA">
            <w:pPr>
              <w:jc w:val="center"/>
              <w:rPr>
                <w:rFonts w:eastAsia="仿宋_GB2312"/>
                <w:color w:val="000000"/>
                <w:sz w:val="30"/>
                <w:szCs w:val="30"/>
              </w:rPr>
            </w:pPr>
          </w:p>
        </w:tc>
        <w:tc>
          <w:tcPr>
            <w:tcW w:w="851" w:type="dxa"/>
            <w:noWrap w:val="0"/>
            <w:vAlign w:val="center"/>
          </w:tcPr>
          <w:p w14:paraId="2CA1F552">
            <w:pPr>
              <w:jc w:val="center"/>
              <w:rPr>
                <w:rFonts w:eastAsia="仿宋_GB2312"/>
                <w:color w:val="000000"/>
                <w:sz w:val="30"/>
                <w:szCs w:val="30"/>
              </w:rPr>
            </w:pPr>
          </w:p>
        </w:tc>
        <w:tc>
          <w:tcPr>
            <w:tcW w:w="1487" w:type="dxa"/>
            <w:noWrap w:val="0"/>
            <w:vAlign w:val="center"/>
          </w:tcPr>
          <w:p w14:paraId="71E8065F">
            <w:pPr>
              <w:jc w:val="center"/>
              <w:rPr>
                <w:rFonts w:eastAsia="仿宋_GB2312"/>
                <w:color w:val="000000"/>
                <w:sz w:val="30"/>
                <w:szCs w:val="30"/>
              </w:rPr>
            </w:pPr>
          </w:p>
        </w:tc>
        <w:tc>
          <w:tcPr>
            <w:tcW w:w="992" w:type="dxa"/>
            <w:noWrap w:val="0"/>
            <w:vAlign w:val="center"/>
          </w:tcPr>
          <w:p w14:paraId="5594EEE7">
            <w:pPr>
              <w:jc w:val="center"/>
              <w:rPr>
                <w:rFonts w:eastAsia="仿宋_GB2312"/>
                <w:color w:val="000000"/>
                <w:sz w:val="30"/>
                <w:szCs w:val="30"/>
              </w:rPr>
            </w:pPr>
          </w:p>
        </w:tc>
      </w:tr>
      <w:tr w14:paraId="15586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47D31B0">
            <w:pPr>
              <w:jc w:val="center"/>
              <w:rPr>
                <w:rFonts w:eastAsia="仿宋_GB2312"/>
                <w:color w:val="000000"/>
                <w:sz w:val="30"/>
                <w:szCs w:val="30"/>
              </w:rPr>
            </w:pPr>
          </w:p>
        </w:tc>
        <w:tc>
          <w:tcPr>
            <w:tcW w:w="1276" w:type="dxa"/>
            <w:noWrap w:val="0"/>
            <w:vAlign w:val="center"/>
          </w:tcPr>
          <w:p w14:paraId="387A644B">
            <w:pPr>
              <w:jc w:val="center"/>
              <w:rPr>
                <w:rFonts w:eastAsia="仿宋_GB2312"/>
                <w:color w:val="000000"/>
                <w:sz w:val="30"/>
                <w:szCs w:val="30"/>
              </w:rPr>
            </w:pPr>
          </w:p>
        </w:tc>
        <w:tc>
          <w:tcPr>
            <w:tcW w:w="1418" w:type="dxa"/>
            <w:noWrap w:val="0"/>
            <w:vAlign w:val="center"/>
          </w:tcPr>
          <w:p w14:paraId="47A8BDBE">
            <w:pPr>
              <w:jc w:val="center"/>
              <w:rPr>
                <w:rFonts w:eastAsia="仿宋_GB2312"/>
                <w:color w:val="000000"/>
                <w:sz w:val="30"/>
                <w:szCs w:val="30"/>
              </w:rPr>
            </w:pPr>
          </w:p>
        </w:tc>
        <w:tc>
          <w:tcPr>
            <w:tcW w:w="940" w:type="dxa"/>
            <w:noWrap w:val="0"/>
            <w:vAlign w:val="center"/>
          </w:tcPr>
          <w:p w14:paraId="3A0A98FB">
            <w:pPr>
              <w:jc w:val="center"/>
              <w:rPr>
                <w:rFonts w:eastAsia="仿宋_GB2312"/>
                <w:color w:val="000000"/>
                <w:sz w:val="30"/>
                <w:szCs w:val="30"/>
              </w:rPr>
            </w:pPr>
          </w:p>
        </w:tc>
        <w:tc>
          <w:tcPr>
            <w:tcW w:w="851" w:type="dxa"/>
            <w:noWrap w:val="0"/>
            <w:vAlign w:val="center"/>
          </w:tcPr>
          <w:p w14:paraId="11E2A325">
            <w:pPr>
              <w:jc w:val="center"/>
              <w:rPr>
                <w:rFonts w:eastAsia="仿宋_GB2312"/>
                <w:color w:val="000000"/>
                <w:sz w:val="30"/>
                <w:szCs w:val="30"/>
              </w:rPr>
            </w:pPr>
          </w:p>
        </w:tc>
        <w:tc>
          <w:tcPr>
            <w:tcW w:w="1044" w:type="dxa"/>
            <w:noWrap w:val="0"/>
            <w:vAlign w:val="center"/>
          </w:tcPr>
          <w:p w14:paraId="1F5BA997">
            <w:pPr>
              <w:jc w:val="center"/>
              <w:rPr>
                <w:rFonts w:eastAsia="仿宋_GB2312"/>
                <w:color w:val="000000"/>
                <w:sz w:val="30"/>
                <w:szCs w:val="30"/>
              </w:rPr>
            </w:pPr>
          </w:p>
        </w:tc>
        <w:tc>
          <w:tcPr>
            <w:tcW w:w="992" w:type="dxa"/>
            <w:noWrap w:val="0"/>
            <w:vAlign w:val="center"/>
          </w:tcPr>
          <w:p w14:paraId="477D9935">
            <w:pPr>
              <w:jc w:val="center"/>
              <w:rPr>
                <w:rFonts w:eastAsia="仿宋_GB2312"/>
                <w:color w:val="000000"/>
                <w:sz w:val="30"/>
                <w:szCs w:val="30"/>
              </w:rPr>
            </w:pPr>
          </w:p>
        </w:tc>
        <w:tc>
          <w:tcPr>
            <w:tcW w:w="851" w:type="dxa"/>
            <w:noWrap w:val="0"/>
            <w:vAlign w:val="center"/>
          </w:tcPr>
          <w:p w14:paraId="2DCBA6F2">
            <w:pPr>
              <w:jc w:val="center"/>
              <w:rPr>
                <w:rFonts w:eastAsia="仿宋_GB2312"/>
                <w:color w:val="000000"/>
                <w:sz w:val="30"/>
                <w:szCs w:val="30"/>
              </w:rPr>
            </w:pPr>
          </w:p>
        </w:tc>
        <w:tc>
          <w:tcPr>
            <w:tcW w:w="1487" w:type="dxa"/>
            <w:noWrap w:val="0"/>
            <w:vAlign w:val="center"/>
          </w:tcPr>
          <w:p w14:paraId="335A9AB6">
            <w:pPr>
              <w:jc w:val="center"/>
              <w:rPr>
                <w:rFonts w:eastAsia="仿宋_GB2312"/>
                <w:color w:val="000000"/>
                <w:sz w:val="30"/>
                <w:szCs w:val="30"/>
              </w:rPr>
            </w:pPr>
          </w:p>
        </w:tc>
        <w:tc>
          <w:tcPr>
            <w:tcW w:w="992" w:type="dxa"/>
            <w:noWrap w:val="0"/>
            <w:vAlign w:val="center"/>
          </w:tcPr>
          <w:p w14:paraId="5150DEBA">
            <w:pPr>
              <w:jc w:val="center"/>
              <w:rPr>
                <w:rFonts w:eastAsia="仿宋_GB2312"/>
                <w:color w:val="000000"/>
                <w:sz w:val="30"/>
                <w:szCs w:val="30"/>
              </w:rPr>
            </w:pPr>
          </w:p>
        </w:tc>
      </w:tr>
      <w:tr w14:paraId="035D9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06380EE">
            <w:pPr>
              <w:jc w:val="center"/>
              <w:rPr>
                <w:rFonts w:eastAsia="仿宋_GB2312"/>
                <w:color w:val="000000"/>
                <w:sz w:val="30"/>
                <w:szCs w:val="30"/>
              </w:rPr>
            </w:pPr>
          </w:p>
        </w:tc>
        <w:tc>
          <w:tcPr>
            <w:tcW w:w="1276" w:type="dxa"/>
            <w:noWrap w:val="0"/>
            <w:vAlign w:val="center"/>
          </w:tcPr>
          <w:p w14:paraId="64B615C8">
            <w:pPr>
              <w:jc w:val="center"/>
              <w:rPr>
                <w:rFonts w:eastAsia="仿宋_GB2312"/>
                <w:color w:val="000000"/>
                <w:sz w:val="30"/>
                <w:szCs w:val="30"/>
              </w:rPr>
            </w:pPr>
          </w:p>
        </w:tc>
        <w:tc>
          <w:tcPr>
            <w:tcW w:w="1418" w:type="dxa"/>
            <w:noWrap w:val="0"/>
            <w:vAlign w:val="center"/>
          </w:tcPr>
          <w:p w14:paraId="1CBF7AD3">
            <w:pPr>
              <w:jc w:val="center"/>
              <w:rPr>
                <w:rFonts w:eastAsia="仿宋_GB2312"/>
                <w:color w:val="000000"/>
                <w:sz w:val="30"/>
                <w:szCs w:val="30"/>
              </w:rPr>
            </w:pPr>
          </w:p>
        </w:tc>
        <w:tc>
          <w:tcPr>
            <w:tcW w:w="940" w:type="dxa"/>
            <w:noWrap w:val="0"/>
            <w:vAlign w:val="center"/>
          </w:tcPr>
          <w:p w14:paraId="0F782154">
            <w:pPr>
              <w:jc w:val="center"/>
              <w:rPr>
                <w:rFonts w:eastAsia="仿宋_GB2312"/>
                <w:color w:val="000000"/>
                <w:sz w:val="30"/>
                <w:szCs w:val="30"/>
              </w:rPr>
            </w:pPr>
          </w:p>
        </w:tc>
        <w:tc>
          <w:tcPr>
            <w:tcW w:w="851" w:type="dxa"/>
            <w:noWrap w:val="0"/>
            <w:vAlign w:val="center"/>
          </w:tcPr>
          <w:p w14:paraId="6B7DFB1D">
            <w:pPr>
              <w:jc w:val="center"/>
              <w:rPr>
                <w:rFonts w:eastAsia="仿宋_GB2312"/>
                <w:color w:val="000000"/>
                <w:sz w:val="30"/>
                <w:szCs w:val="30"/>
              </w:rPr>
            </w:pPr>
          </w:p>
        </w:tc>
        <w:tc>
          <w:tcPr>
            <w:tcW w:w="1044" w:type="dxa"/>
            <w:noWrap w:val="0"/>
            <w:vAlign w:val="center"/>
          </w:tcPr>
          <w:p w14:paraId="454C86FE">
            <w:pPr>
              <w:jc w:val="center"/>
              <w:rPr>
                <w:rFonts w:eastAsia="仿宋_GB2312"/>
                <w:color w:val="000000"/>
                <w:sz w:val="30"/>
                <w:szCs w:val="30"/>
              </w:rPr>
            </w:pPr>
          </w:p>
        </w:tc>
        <w:tc>
          <w:tcPr>
            <w:tcW w:w="992" w:type="dxa"/>
            <w:noWrap w:val="0"/>
            <w:vAlign w:val="center"/>
          </w:tcPr>
          <w:p w14:paraId="6BB9A72A">
            <w:pPr>
              <w:jc w:val="center"/>
              <w:rPr>
                <w:rFonts w:eastAsia="仿宋_GB2312"/>
                <w:color w:val="000000"/>
                <w:sz w:val="30"/>
                <w:szCs w:val="30"/>
              </w:rPr>
            </w:pPr>
          </w:p>
        </w:tc>
        <w:tc>
          <w:tcPr>
            <w:tcW w:w="851" w:type="dxa"/>
            <w:noWrap w:val="0"/>
            <w:vAlign w:val="center"/>
          </w:tcPr>
          <w:p w14:paraId="65798D79">
            <w:pPr>
              <w:jc w:val="center"/>
              <w:rPr>
                <w:rFonts w:eastAsia="仿宋_GB2312"/>
                <w:color w:val="000000"/>
                <w:sz w:val="30"/>
                <w:szCs w:val="30"/>
              </w:rPr>
            </w:pPr>
          </w:p>
        </w:tc>
        <w:tc>
          <w:tcPr>
            <w:tcW w:w="1487" w:type="dxa"/>
            <w:noWrap w:val="0"/>
            <w:vAlign w:val="center"/>
          </w:tcPr>
          <w:p w14:paraId="68C4FF35">
            <w:pPr>
              <w:jc w:val="center"/>
              <w:rPr>
                <w:rFonts w:eastAsia="仿宋_GB2312"/>
                <w:color w:val="000000"/>
                <w:sz w:val="30"/>
                <w:szCs w:val="30"/>
              </w:rPr>
            </w:pPr>
          </w:p>
        </w:tc>
        <w:tc>
          <w:tcPr>
            <w:tcW w:w="992" w:type="dxa"/>
            <w:noWrap w:val="0"/>
            <w:vAlign w:val="center"/>
          </w:tcPr>
          <w:p w14:paraId="7AABB329">
            <w:pPr>
              <w:jc w:val="center"/>
              <w:rPr>
                <w:rFonts w:eastAsia="仿宋_GB2312"/>
                <w:color w:val="000000"/>
                <w:sz w:val="30"/>
                <w:szCs w:val="30"/>
              </w:rPr>
            </w:pPr>
          </w:p>
        </w:tc>
      </w:tr>
      <w:tr w14:paraId="422B9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7EBB6CE">
            <w:pPr>
              <w:jc w:val="center"/>
              <w:rPr>
                <w:rFonts w:eastAsia="仿宋_GB2312"/>
                <w:color w:val="000000"/>
                <w:sz w:val="30"/>
                <w:szCs w:val="30"/>
              </w:rPr>
            </w:pPr>
          </w:p>
        </w:tc>
        <w:tc>
          <w:tcPr>
            <w:tcW w:w="1276" w:type="dxa"/>
            <w:noWrap w:val="0"/>
            <w:vAlign w:val="center"/>
          </w:tcPr>
          <w:p w14:paraId="3DEF4CD1">
            <w:pPr>
              <w:jc w:val="center"/>
              <w:rPr>
                <w:rFonts w:eastAsia="仿宋_GB2312"/>
                <w:color w:val="000000"/>
                <w:sz w:val="30"/>
                <w:szCs w:val="30"/>
              </w:rPr>
            </w:pPr>
          </w:p>
        </w:tc>
        <w:tc>
          <w:tcPr>
            <w:tcW w:w="1418" w:type="dxa"/>
            <w:noWrap w:val="0"/>
            <w:vAlign w:val="center"/>
          </w:tcPr>
          <w:p w14:paraId="1C8B8672">
            <w:pPr>
              <w:jc w:val="center"/>
              <w:rPr>
                <w:rFonts w:eastAsia="仿宋_GB2312"/>
                <w:color w:val="000000"/>
                <w:sz w:val="30"/>
                <w:szCs w:val="30"/>
              </w:rPr>
            </w:pPr>
          </w:p>
        </w:tc>
        <w:tc>
          <w:tcPr>
            <w:tcW w:w="940" w:type="dxa"/>
            <w:noWrap w:val="0"/>
            <w:vAlign w:val="center"/>
          </w:tcPr>
          <w:p w14:paraId="4AD0D6A6">
            <w:pPr>
              <w:jc w:val="center"/>
              <w:rPr>
                <w:rFonts w:eastAsia="仿宋_GB2312"/>
                <w:color w:val="000000"/>
                <w:sz w:val="30"/>
                <w:szCs w:val="30"/>
              </w:rPr>
            </w:pPr>
          </w:p>
        </w:tc>
        <w:tc>
          <w:tcPr>
            <w:tcW w:w="851" w:type="dxa"/>
            <w:noWrap w:val="0"/>
            <w:vAlign w:val="center"/>
          </w:tcPr>
          <w:p w14:paraId="151DD99D">
            <w:pPr>
              <w:jc w:val="center"/>
              <w:rPr>
                <w:rFonts w:eastAsia="仿宋_GB2312"/>
                <w:color w:val="000000"/>
                <w:sz w:val="30"/>
                <w:szCs w:val="30"/>
              </w:rPr>
            </w:pPr>
          </w:p>
        </w:tc>
        <w:tc>
          <w:tcPr>
            <w:tcW w:w="1044" w:type="dxa"/>
            <w:noWrap w:val="0"/>
            <w:vAlign w:val="center"/>
          </w:tcPr>
          <w:p w14:paraId="2FEFCE7D">
            <w:pPr>
              <w:jc w:val="center"/>
              <w:rPr>
                <w:rFonts w:eastAsia="仿宋_GB2312"/>
                <w:color w:val="000000"/>
                <w:sz w:val="30"/>
                <w:szCs w:val="30"/>
              </w:rPr>
            </w:pPr>
          </w:p>
        </w:tc>
        <w:tc>
          <w:tcPr>
            <w:tcW w:w="992" w:type="dxa"/>
            <w:noWrap w:val="0"/>
            <w:vAlign w:val="center"/>
          </w:tcPr>
          <w:p w14:paraId="3B4E7663">
            <w:pPr>
              <w:jc w:val="center"/>
              <w:rPr>
                <w:rFonts w:eastAsia="仿宋_GB2312"/>
                <w:color w:val="000000"/>
                <w:sz w:val="30"/>
                <w:szCs w:val="30"/>
              </w:rPr>
            </w:pPr>
          </w:p>
        </w:tc>
        <w:tc>
          <w:tcPr>
            <w:tcW w:w="851" w:type="dxa"/>
            <w:noWrap w:val="0"/>
            <w:vAlign w:val="center"/>
          </w:tcPr>
          <w:p w14:paraId="7D308CC6">
            <w:pPr>
              <w:jc w:val="center"/>
              <w:rPr>
                <w:rFonts w:eastAsia="仿宋_GB2312"/>
                <w:color w:val="000000"/>
                <w:sz w:val="30"/>
                <w:szCs w:val="30"/>
              </w:rPr>
            </w:pPr>
          </w:p>
        </w:tc>
        <w:tc>
          <w:tcPr>
            <w:tcW w:w="1487" w:type="dxa"/>
            <w:noWrap w:val="0"/>
            <w:vAlign w:val="center"/>
          </w:tcPr>
          <w:p w14:paraId="5CE5D1F3">
            <w:pPr>
              <w:jc w:val="center"/>
              <w:rPr>
                <w:rFonts w:eastAsia="仿宋_GB2312"/>
                <w:color w:val="000000"/>
                <w:sz w:val="30"/>
                <w:szCs w:val="30"/>
              </w:rPr>
            </w:pPr>
          </w:p>
        </w:tc>
        <w:tc>
          <w:tcPr>
            <w:tcW w:w="992" w:type="dxa"/>
            <w:noWrap w:val="0"/>
            <w:vAlign w:val="center"/>
          </w:tcPr>
          <w:p w14:paraId="27FD3277">
            <w:pPr>
              <w:jc w:val="center"/>
              <w:rPr>
                <w:rFonts w:eastAsia="仿宋_GB2312"/>
                <w:color w:val="000000"/>
                <w:sz w:val="30"/>
                <w:szCs w:val="30"/>
              </w:rPr>
            </w:pPr>
          </w:p>
        </w:tc>
      </w:tr>
      <w:tr w14:paraId="1E788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2FB8386">
            <w:pPr>
              <w:jc w:val="center"/>
              <w:rPr>
                <w:rFonts w:eastAsia="仿宋_GB2312"/>
                <w:color w:val="000000"/>
                <w:sz w:val="30"/>
                <w:szCs w:val="30"/>
              </w:rPr>
            </w:pPr>
          </w:p>
        </w:tc>
        <w:tc>
          <w:tcPr>
            <w:tcW w:w="1276" w:type="dxa"/>
            <w:noWrap w:val="0"/>
            <w:vAlign w:val="center"/>
          </w:tcPr>
          <w:p w14:paraId="0766819E">
            <w:pPr>
              <w:jc w:val="center"/>
              <w:rPr>
                <w:rFonts w:eastAsia="仿宋_GB2312"/>
                <w:color w:val="000000"/>
                <w:sz w:val="30"/>
                <w:szCs w:val="30"/>
              </w:rPr>
            </w:pPr>
          </w:p>
        </w:tc>
        <w:tc>
          <w:tcPr>
            <w:tcW w:w="1418" w:type="dxa"/>
            <w:noWrap w:val="0"/>
            <w:vAlign w:val="center"/>
          </w:tcPr>
          <w:p w14:paraId="50D73775">
            <w:pPr>
              <w:jc w:val="center"/>
              <w:rPr>
                <w:rFonts w:eastAsia="仿宋_GB2312"/>
                <w:color w:val="000000"/>
                <w:sz w:val="30"/>
                <w:szCs w:val="30"/>
              </w:rPr>
            </w:pPr>
          </w:p>
        </w:tc>
        <w:tc>
          <w:tcPr>
            <w:tcW w:w="940" w:type="dxa"/>
            <w:noWrap w:val="0"/>
            <w:vAlign w:val="center"/>
          </w:tcPr>
          <w:p w14:paraId="34A8DE2D">
            <w:pPr>
              <w:jc w:val="center"/>
              <w:rPr>
                <w:rFonts w:eastAsia="仿宋_GB2312"/>
                <w:color w:val="000000"/>
                <w:sz w:val="30"/>
                <w:szCs w:val="30"/>
              </w:rPr>
            </w:pPr>
          </w:p>
        </w:tc>
        <w:tc>
          <w:tcPr>
            <w:tcW w:w="851" w:type="dxa"/>
            <w:noWrap w:val="0"/>
            <w:vAlign w:val="center"/>
          </w:tcPr>
          <w:p w14:paraId="3E88A972">
            <w:pPr>
              <w:jc w:val="center"/>
              <w:rPr>
                <w:rFonts w:eastAsia="仿宋_GB2312"/>
                <w:color w:val="000000"/>
                <w:sz w:val="30"/>
                <w:szCs w:val="30"/>
              </w:rPr>
            </w:pPr>
          </w:p>
        </w:tc>
        <w:tc>
          <w:tcPr>
            <w:tcW w:w="1044" w:type="dxa"/>
            <w:noWrap w:val="0"/>
            <w:vAlign w:val="center"/>
          </w:tcPr>
          <w:p w14:paraId="1E052878">
            <w:pPr>
              <w:jc w:val="center"/>
              <w:rPr>
                <w:rFonts w:eastAsia="仿宋_GB2312"/>
                <w:color w:val="000000"/>
                <w:sz w:val="30"/>
                <w:szCs w:val="30"/>
              </w:rPr>
            </w:pPr>
          </w:p>
        </w:tc>
        <w:tc>
          <w:tcPr>
            <w:tcW w:w="992" w:type="dxa"/>
            <w:noWrap w:val="0"/>
            <w:vAlign w:val="center"/>
          </w:tcPr>
          <w:p w14:paraId="6DDDE371">
            <w:pPr>
              <w:jc w:val="center"/>
              <w:rPr>
                <w:rFonts w:eastAsia="仿宋_GB2312"/>
                <w:color w:val="000000"/>
                <w:sz w:val="30"/>
                <w:szCs w:val="30"/>
              </w:rPr>
            </w:pPr>
          </w:p>
        </w:tc>
        <w:tc>
          <w:tcPr>
            <w:tcW w:w="851" w:type="dxa"/>
            <w:noWrap w:val="0"/>
            <w:vAlign w:val="center"/>
          </w:tcPr>
          <w:p w14:paraId="51CD3D2C">
            <w:pPr>
              <w:jc w:val="center"/>
              <w:rPr>
                <w:rFonts w:eastAsia="仿宋_GB2312"/>
                <w:color w:val="000000"/>
                <w:sz w:val="30"/>
                <w:szCs w:val="30"/>
              </w:rPr>
            </w:pPr>
          </w:p>
        </w:tc>
        <w:tc>
          <w:tcPr>
            <w:tcW w:w="1487" w:type="dxa"/>
            <w:noWrap w:val="0"/>
            <w:vAlign w:val="center"/>
          </w:tcPr>
          <w:p w14:paraId="472A7211">
            <w:pPr>
              <w:jc w:val="center"/>
              <w:rPr>
                <w:rFonts w:eastAsia="仿宋_GB2312"/>
                <w:color w:val="000000"/>
                <w:sz w:val="30"/>
                <w:szCs w:val="30"/>
              </w:rPr>
            </w:pPr>
          </w:p>
        </w:tc>
        <w:tc>
          <w:tcPr>
            <w:tcW w:w="992" w:type="dxa"/>
            <w:noWrap w:val="0"/>
            <w:vAlign w:val="center"/>
          </w:tcPr>
          <w:p w14:paraId="589A837D">
            <w:pPr>
              <w:jc w:val="center"/>
              <w:rPr>
                <w:rFonts w:eastAsia="仿宋_GB2312"/>
                <w:color w:val="000000"/>
                <w:sz w:val="30"/>
                <w:szCs w:val="30"/>
              </w:rPr>
            </w:pPr>
          </w:p>
        </w:tc>
      </w:tr>
    </w:tbl>
    <w:p w14:paraId="6B615B3E">
      <w:pPr>
        <w:spacing w:line="440" w:lineRule="exact"/>
        <w:rPr>
          <w:rFonts w:ascii="Times New Roman" w:hAnsi="Times New Roman" w:eastAsia="仿宋_GB2312"/>
          <w:color w:val="000000"/>
          <w:sz w:val="30"/>
          <w:szCs w:val="30"/>
        </w:rPr>
      </w:pPr>
    </w:p>
    <w:p w14:paraId="7D987AA6">
      <w:pPr>
        <w:spacing w:line="440" w:lineRule="exact"/>
        <w:rPr>
          <w:rFonts w:ascii="Times New Roman" w:hAnsi="Times New Roman" w:eastAsia="仿宋_GB2312"/>
          <w:color w:val="000000"/>
          <w:sz w:val="30"/>
          <w:szCs w:val="30"/>
        </w:rPr>
      </w:pPr>
    </w:p>
    <w:p w14:paraId="676ED3BD">
      <w:pPr>
        <w:spacing w:line="440" w:lineRule="exact"/>
        <w:rPr>
          <w:rFonts w:ascii="Times New Roman" w:hAnsi="Times New Roman" w:eastAsia="仿宋_GB2312"/>
          <w:color w:val="000000"/>
          <w:sz w:val="30"/>
          <w:szCs w:val="30"/>
        </w:rPr>
      </w:pPr>
    </w:p>
    <w:p w14:paraId="3D8D9F20">
      <w:pPr>
        <w:spacing w:line="440" w:lineRule="exact"/>
        <w:rPr>
          <w:rFonts w:ascii="Times New Roman" w:hAnsi="Times New Roman" w:eastAsia="仿宋_GB2312"/>
          <w:color w:val="000000"/>
          <w:sz w:val="30"/>
          <w:szCs w:val="30"/>
        </w:rPr>
      </w:pPr>
    </w:p>
    <w:p w14:paraId="525F646E">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46" w:name="_Toc296891266"/>
      <w:bookmarkStart w:id="947" w:name="_Toc296503226"/>
      <w:bookmarkStart w:id="948" w:name="_Toc296346727"/>
      <w:bookmarkStart w:id="949" w:name="_Toc296944565"/>
      <w:bookmarkStart w:id="950" w:name="_Toc267261693"/>
      <w:bookmarkStart w:id="951" w:name="_Toc296347225"/>
      <w:bookmarkStart w:id="952" w:name="_Toc296891054"/>
      <w:r>
        <w:rPr>
          <w:rFonts w:ascii="Times New Roman" w:hAnsi="Times New Roman" w:eastAsia="仿宋_GB2312"/>
          <w:color w:val="000000"/>
          <w:sz w:val="30"/>
          <w:szCs w:val="30"/>
        </w:rPr>
        <w:t>件3：</w:t>
      </w:r>
      <w:bookmarkEnd w:id="946"/>
      <w:bookmarkEnd w:id="947"/>
      <w:bookmarkEnd w:id="948"/>
      <w:bookmarkEnd w:id="949"/>
      <w:bookmarkEnd w:id="950"/>
      <w:bookmarkEnd w:id="951"/>
      <w:bookmarkEnd w:id="952"/>
      <w:r>
        <w:rPr>
          <w:rFonts w:ascii="Times New Roman" w:hAnsi="Times New Roman" w:eastAsia="黑体"/>
          <w:color w:val="000000"/>
          <w:sz w:val="30"/>
          <w:szCs w:val="30"/>
        </w:rPr>
        <w:t xml:space="preserve">    </w:t>
      </w:r>
    </w:p>
    <w:p w14:paraId="567E6184">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工程质量保修书</w:t>
      </w:r>
    </w:p>
    <w:p w14:paraId="63143012">
      <w:pPr>
        <w:spacing w:line="44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发包人（全称）：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14:paraId="7EDAC414">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承包人（全称）：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14:paraId="3AEC628C">
      <w:pPr>
        <w:spacing w:line="440" w:lineRule="exact"/>
        <w:rPr>
          <w:rFonts w:ascii="Times New Roman" w:hAnsi="Times New Roman" w:eastAsia="仿宋_GB2312"/>
          <w:color w:val="000000"/>
          <w:sz w:val="30"/>
          <w:szCs w:val="30"/>
        </w:rPr>
      </w:pPr>
    </w:p>
    <w:p w14:paraId="5DA3B7C3">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发包人和承包人根据《中华人民共和国建筑法》和《建设工程质量管理条例》，经协商一致就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（工程全称）签订工程质量保修书。</w:t>
      </w:r>
    </w:p>
    <w:p w14:paraId="6758B183">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w:t>
      </w:r>
      <w:bookmarkStart w:id="953" w:name="_Toc5370"/>
      <w:r>
        <w:rPr>
          <w:rFonts w:ascii="Times New Roman" w:hAnsi="Times New Roman" w:eastAsia="黑体"/>
          <w:color w:val="000000"/>
          <w:sz w:val="30"/>
          <w:szCs w:val="30"/>
        </w:rPr>
        <w:t>一、工程质量保修范围和内容</w:t>
      </w:r>
      <w:bookmarkEnd w:id="953"/>
    </w:p>
    <w:p w14:paraId="563C8AC2">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承包人在质量保修期内，按照有关法律规定和合同约定，承担工程质量保修责任。</w:t>
      </w:r>
    </w:p>
    <w:p w14:paraId="4A9DCB65">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4E72A3F">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1B3120F9">
      <w:pPr>
        <w:spacing w:line="360" w:lineRule="auto"/>
        <w:outlineLvl w:val="0"/>
        <w:rPr>
          <w:rFonts w:ascii="Times New Roman" w:hAnsi="Times New Roman" w:eastAsia="黑体"/>
          <w:color w:val="000000"/>
          <w:sz w:val="30"/>
          <w:szCs w:val="30"/>
        </w:rPr>
      </w:pPr>
      <w:r>
        <w:rPr>
          <w:rFonts w:ascii="Times New Roman" w:hAnsi="Times New Roman" w:eastAsia="仿宋_GB2312"/>
          <w:b/>
          <w:color w:val="000000"/>
          <w:sz w:val="30"/>
          <w:szCs w:val="30"/>
        </w:rPr>
        <w:t>　　</w:t>
      </w:r>
      <w:bookmarkStart w:id="954" w:name="_Toc30713"/>
      <w:r>
        <w:rPr>
          <w:rFonts w:ascii="Times New Roman" w:hAnsi="Times New Roman" w:eastAsia="黑体"/>
          <w:color w:val="000000"/>
          <w:sz w:val="30"/>
          <w:szCs w:val="30"/>
        </w:rPr>
        <w:t>二、质量保修期</w:t>
      </w:r>
      <w:bookmarkEnd w:id="954"/>
    </w:p>
    <w:p w14:paraId="47478CA8">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根据《建设工程质量管理条例》及有关规定，工程的质量保修期如下：</w:t>
      </w:r>
    </w:p>
    <w:p w14:paraId="33CC6204">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ascii="Times New Roman" w:hAnsi="Times New Roman"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2B7E0551">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屋面防水工程、有防水要求的卫生间、房间和外墙面的防渗</w:t>
      </w:r>
      <w:r>
        <w:rPr>
          <w:rFonts w:hint="eastAsia" w:ascii="Times New Roman" w:hAnsi="Times New Roman" w:eastAsia="仿宋_GB2312"/>
          <w:color w:val="000000"/>
          <w:sz w:val="30"/>
          <w:szCs w:val="30"/>
        </w:rPr>
        <w:t xml:space="preserve">     为</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14:paraId="14418EB3">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装修工程为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14:paraId="7BE7EFC1">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电气管线、给排水管道、设备安装工程为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14:paraId="7ED8B906">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w:t>
      </w:r>
      <w:r>
        <w:rPr>
          <w:rFonts w:hint="eastAsia" w:ascii="仿宋_GB2312" w:eastAsia="仿宋_GB2312"/>
          <w:sz w:val="30"/>
          <w:szCs w:val="30"/>
        </w:rPr>
        <w:t>．</w:t>
      </w:r>
      <w:r>
        <w:rPr>
          <w:rFonts w:ascii="Times New Roman" w:hAnsi="Times New Roman" w:eastAsia="仿宋_GB2312"/>
          <w:color w:val="000000"/>
          <w:sz w:val="30"/>
          <w:szCs w:val="30"/>
        </w:rPr>
        <w:t>供热与供冷系统为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个采暖期、供冷期；</w:t>
      </w:r>
    </w:p>
    <w:p w14:paraId="572C329F">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6</w:t>
      </w:r>
      <w:r>
        <w:rPr>
          <w:rFonts w:hint="eastAsia" w:ascii="仿宋_GB2312" w:eastAsia="仿宋_GB2312"/>
          <w:sz w:val="30"/>
          <w:szCs w:val="30"/>
        </w:rPr>
        <w:t>．</w:t>
      </w:r>
      <w:r>
        <w:rPr>
          <w:rFonts w:ascii="Times New Roman" w:hAnsi="Times New Roman" w:eastAsia="仿宋_GB2312"/>
          <w:color w:val="000000"/>
          <w:sz w:val="30"/>
          <w:szCs w:val="30"/>
        </w:rPr>
        <w:t>住宅小区内的给排水设施、道路等配套工程为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14:paraId="013F7489">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7</w:t>
      </w:r>
      <w:r>
        <w:rPr>
          <w:rFonts w:hint="eastAsia" w:ascii="仿宋_GB2312" w:eastAsia="仿宋_GB2312"/>
          <w:sz w:val="30"/>
          <w:szCs w:val="30"/>
        </w:rPr>
        <w:t>．</w:t>
      </w:r>
      <w:r>
        <w:rPr>
          <w:rFonts w:ascii="Times New Roman" w:hAnsi="Times New Roman" w:eastAsia="仿宋_GB2312"/>
          <w:color w:val="000000"/>
          <w:sz w:val="30"/>
          <w:szCs w:val="30"/>
        </w:rPr>
        <w:t>其他项目保修期限约定如下：</w:t>
      </w:r>
    </w:p>
    <w:p w14:paraId="2F1BE8F6">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6E3601BC">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质量保修期自工程竣工验收合格之日起计算。</w:t>
      </w:r>
    </w:p>
    <w:p w14:paraId="026D994F">
      <w:pPr>
        <w:spacing w:line="360" w:lineRule="auto"/>
        <w:ind w:firstLine="600" w:firstLineChars="200"/>
        <w:outlineLvl w:val="0"/>
        <w:rPr>
          <w:rFonts w:ascii="Times New Roman" w:hAnsi="Times New Roman" w:eastAsia="黑体"/>
          <w:color w:val="000000"/>
          <w:sz w:val="30"/>
          <w:szCs w:val="30"/>
        </w:rPr>
      </w:pPr>
      <w:bookmarkStart w:id="955" w:name="_Toc10092"/>
      <w:r>
        <w:rPr>
          <w:rFonts w:ascii="Times New Roman" w:hAnsi="Times New Roman" w:eastAsia="黑体"/>
          <w:color w:val="000000"/>
          <w:sz w:val="30"/>
          <w:szCs w:val="30"/>
        </w:rPr>
        <w:t>三、缺陷责任期</w:t>
      </w:r>
      <w:bookmarkEnd w:id="955"/>
    </w:p>
    <w:p w14:paraId="588703BE">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工程缺陷责任期为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个月，缺陷责任期自工程</w:t>
      </w:r>
      <w:r>
        <w:rPr>
          <w:rFonts w:hint="eastAsia" w:ascii="Times New Roman" w:hAnsi="Times New Roman" w:eastAsia="仿宋_GB2312"/>
          <w:color w:val="000000"/>
          <w:sz w:val="30"/>
          <w:szCs w:val="30"/>
        </w:rPr>
        <w:t>通过竣工验收</w:t>
      </w:r>
      <w:r>
        <w:rPr>
          <w:rFonts w:ascii="Times New Roman" w:hAnsi="Times New Roman" w:eastAsia="仿宋_GB2312"/>
          <w:color w:val="000000"/>
          <w:sz w:val="30"/>
          <w:szCs w:val="30"/>
        </w:rPr>
        <w:t>之日起计算。单位工程先于全部工程进行验收，单位工程缺陷责任期自单位工程验收合格之日起算。</w:t>
      </w:r>
    </w:p>
    <w:p w14:paraId="51BDC58C">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缺陷责任期终止后，发包人应退还剩余的质量保证金。</w:t>
      </w:r>
    </w:p>
    <w:p w14:paraId="717A6B15">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xml:space="preserve">    </w:t>
      </w:r>
      <w:bookmarkStart w:id="956" w:name="_Toc9715"/>
      <w:r>
        <w:rPr>
          <w:rFonts w:ascii="Times New Roman" w:hAnsi="Times New Roman" w:eastAsia="黑体"/>
          <w:color w:val="000000"/>
          <w:sz w:val="30"/>
          <w:szCs w:val="30"/>
        </w:rPr>
        <w:t>四、质量保修责任</w:t>
      </w:r>
      <w:bookmarkEnd w:id="956"/>
    </w:p>
    <w:p w14:paraId="2862752F">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hint="eastAsia" w:ascii="仿宋_GB2312" w:eastAsia="仿宋_GB2312"/>
          <w:sz w:val="30"/>
          <w:szCs w:val="30"/>
        </w:rPr>
        <w:t>．</w:t>
      </w:r>
      <w:r>
        <w:rPr>
          <w:rFonts w:ascii="Times New Roman" w:hAnsi="Times New Roman" w:eastAsia="仿宋_GB2312"/>
          <w:color w:val="000000"/>
          <w:sz w:val="30"/>
          <w:szCs w:val="30"/>
        </w:rPr>
        <w:t>属于保修范围、内容的项目，承包人应当在接到保修通知之日起7天内派人保修。承包人不在约定期限内派人保修的，发包人可以委托他人修理。</w:t>
      </w:r>
    </w:p>
    <w:p w14:paraId="0B495DF8">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发生紧急事故需抢修的，承包人在接到事故通知后，应当立即到达事故现场抢修。</w:t>
      </w:r>
    </w:p>
    <w:p w14:paraId="007E39D3">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7337CE9">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质量保修完成后，由发包人组织验收。</w:t>
      </w:r>
    </w:p>
    <w:p w14:paraId="39B569E6">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w:t>
      </w:r>
      <w:bookmarkStart w:id="957" w:name="_Toc300"/>
      <w:r>
        <w:rPr>
          <w:rFonts w:ascii="Times New Roman" w:hAnsi="Times New Roman" w:eastAsia="黑体"/>
          <w:color w:val="000000"/>
          <w:sz w:val="30"/>
          <w:szCs w:val="30"/>
        </w:rPr>
        <w:t>五、保修费用</w:t>
      </w:r>
      <w:bookmarkEnd w:id="957"/>
    </w:p>
    <w:p w14:paraId="22603E01">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保修费用由造成质量缺陷的责任方承担。</w:t>
      </w:r>
    </w:p>
    <w:p w14:paraId="52B38C05">
      <w:pPr>
        <w:spacing w:line="360" w:lineRule="auto"/>
        <w:ind w:firstLine="600"/>
        <w:jc w:val="left"/>
        <w:outlineLvl w:val="0"/>
        <w:rPr>
          <w:rFonts w:ascii="Times New Roman" w:hAnsi="Times New Roman" w:eastAsia="仿宋_GB2312"/>
          <w:color w:val="000000"/>
          <w:sz w:val="30"/>
          <w:szCs w:val="30"/>
          <w:u w:val="single"/>
        </w:rPr>
      </w:pPr>
      <w:bookmarkStart w:id="958" w:name="_Toc12999"/>
      <w:r>
        <w:rPr>
          <w:rFonts w:ascii="Times New Roman" w:hAnsi="Times New Roman" w:eastAsia="黑体"/>
          <w:b/>
          <w:color w:val="000000"/>
          <w:sz w:val="30"/>
          <w:szCs w:val="30"/>
        </w:rPr>
        <w:t>六</w:t>
      </w:r>
      <w:r>
        <w:rPr>
          <w:rFonts w:ascii="Times New Roman" w:hAnsi="Times New Roman" w:eastAsia="黑体"/>
          <w:color w:val="000000"/>
          <w:sz w:val="30"/>
          <w:szCs w:val="30"/>
        </w:rPr>
        <w:t>、双方约定的其他工程质量保修事项</w:t>
      </w:r>
      <w:r>
        <w:rPr>
          <w:rFonts w:ascii="Times New Roman" w:hAnsi="Times New Roman" w:eastAsia="仿宋_GB2312"/>
          <w:color w:val="000000"/>
          <w:sz w:val="30"/>
          <w:szCs w:val="30"/>
        </w:rPr>
        <w:t>：</w:t>
      </w:r>
      <w:bookmarkEnd w:id="958"/>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0FB077D2">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4DECDFBD">
      <w:pPr>
        <w:spacing w:line="360" w:lineRule="auto"/>
        <w:ind w:firstLine="570" w:firstLineChars="190"/>
        <w:rPr>
          <w:rFonts w:ascii="Times New Roman" w:hAnsi="Times New Roman" w:eastAsia="仿宋_GB2312"/>
          <w:color w:val="000000"/>
          <w:sz w:val="30"/>
          <w:szCs w:val="30"/>
        </w:rPr>
      </w:pPr>
      <w:r>
        <w:rPr>
          <w:rFonts w:ascii="Times New Roman" w:hAnsi="Times New Roman" w:eastAsia="仿宋_GB2312"/>
          <w:color w:val="000000"/>
          <w:sz w:val="30"/>
          <w:szCs w:val="30"/>
        </w:rPr>
        <w:t>工程质量保修书由发包人、承包人在工程竣工验收前共同签署，作为施工合同附件，其有效期限至保修期满。</w:t>
      </w:r>
    </w:p>
    <w:p w14:paraId="6BD78B0F">
      <w:pPr>
        <w:spacing w:line="360" w:lineRule="auto"/>
        <w:ind w:firstLine="420"/>
        <w:rPr>
          <w:rFonts w:ascii="Times New Roman" w:hAnsi="Times New Roman" w:eastAsia="仿宋_GB2312"/>
          <w:color w:val="000000"/>
          <w:sz w:val="30"/>
          <w:szCs w:val="30"/>
        </w:rPr>
      </w:pPr>
    </w:p>
    <w:p w14:paraId="7FCE58C5">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发包人(公章)：</w:t>
      </w:r>
      <w:r>
        <w:rPr>
          <w:rFonts w:ascii="Times New Roman" w:hAnsi="Times New Roman" w:eastAsia="仿宋_GB2312"/>
          <w:color w:val="000000"/>
          <w:sz w:val="30"/>
          <w:szCs w:val="30"/>
          <w:u w:val="single"/>
        </w:rPr>
        <w:t xml:space="preserve">        </w:t>
      </w:r>
      <w:r>
        <w:rPr>
          <w:rFonts w:ascii="Times New Roman" w:hAnsi="Times New Roman" w:eastAsia="仿宋_GB2312"/>
          <w:color w:val="000000"/>
          <w:sz w:val="30"/>
          <w:szCs w:val="30"/>
        </w:rPr>
        <w:t xml:space="preserve"> 承包人(公章)：</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716E183E">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0E609562">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85939B7">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委托代理人(签字)：</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委托代理人(签字)：</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68A6C5D">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35A8D74F">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180D046">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开户银行：</w:t>
      </w:r>
      <w:r>
        <w:rPr>
          <w:rFonts w:ascii="Times New Roman" w:hAnsi="Times New Roman" w:eastAsia="仿宋_GB2312"/>
          <w:color w:val="000000"/>
          <w:sz w:val="30"/>
          <w:szCs w:val="30"/>
          <w:u w:val="single"/>
        </w:rPr>
        <w:t xml:space="preserve">   </w:t>
      </w:r>
    </w:p>
    <w:p w14:paraId="24A3DBF5">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14:paraId="45FFB0B4">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 xml:space="preserve"> 邮政编码：</w:t>
      </w:r>
      <w:r>
        <w:rPr>
          <w:rFonts w:ascii="Times New Roman" w:hAnsi="Times New Roman" w:eastAsia="仿宋_GB2312"/>
          <w:color w:val="000000"/>
          <w:sz w:val="30"/>
          <w:szCs w:val="30"/>
          <w:u w:val="single"/>
        </w:rPr>
        <w:t xml:space="preserve">   </w:t>
      </w:r>
    </w:p>
    <w:p w14:paraId="267B2784">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28"/>
          <w:szCs w:val="28"/>
        </w:rPr>
      </w:pPr>
      <w:r>
        <w:rPr>
          <w:rFonts w:ascii="Times New Roman" w:hAnsi="Times New Roman" w:eastAsia="仿宋_GB2312"/>
          <w:b/>
          <w:color w:val="000000"/>
          <w:sz w:val="30"/>
          <w:szCs w:val="30"/>
        </w:rPr>
        <w:br w:type="page"/>
      </w:r>
      <w:r>
        <w:rPr>
          <w:rFonts w:hint="eastAsia" w:ascii="Times New Roman" w:hAnsi="Times New Roman" w:eastAsia="仿宋_GB2312" w:cs="Times New Roman"/>
          <w:color w:val="000000"/>
          <w:sz w:val="30"/>
          <w:szCs w:val="30"/>
        </w:rPr>
        <w:t>附件</w:t>
      </w:r>
      <w:r>
        <w:rPr>
          <w:rFonts w:hint="eastAsia" w:ascii="Times New Roman" w:hAnsi="Times New Roman" w:eastAsia="仿宋_GB2312" w:cs="Times New Roman"/>
          <w:color w:val="000000"/>
          <w:sz w:val="30"/>
          <w:szCs w:val="30"/>
          <w:lang w:val="en-US" w:eastAsia="zh-CN"/>
        </w:rPr>
        <w:t>4</w:t>
      </w:r>
      <w:r>
        <w:rPr>
          <w:rFonts w:hint="eastAsia" w:ascii="Times New Roman" w:hAnsi="Times New Roman" w:eastAsia="仿宋_GB2312" w:cs="Times New Roman"/>
          <w:color w:val="000000"/>
          <w:sz w:val="30"/>
          <w:szCs w:val="30"/>
        </w:rPr>
        <w:t>：</w:t>
      </w:r>
      <w:r>
        <w:rPr>
          <w:rFonts w:hint="eastAsia" w:ascii="Times New Roman" w:hAnsi="Times New Roman" w:eastAsia="仿宋_GB2312"/>
          <w:color w:val="000000"/>
          <w:sz w:val="30"/>
          <w:szCs w:val="30"/>
          <w:lang w:val="en-US" w:eastAsia="zh-CN"/>
        </w:rPr>
        <w:t xml:space="preserve">               </w:t>
      </w:r>
      <w:r>
        <w:rPr>
          <w:rFonts w:hint="eastAsia" w:ascii="黑体" w:hAnsi="黑体" w:eastAsia="黑体" w:cs="黑体"/>
          <w:b/>
          <w:bCs w:val="0"/>
          <w:color w:val="auto"/>
          <w:spacing w:val="-10"/>
          <w:sz w:val="30"/>
          <w:szCs w:val="30"/>
        </w:rPr>
        <w:t>安全管理协议</w:t>
      </w:r>
    </w:p>
    <w:p w14:paraId="3403412A">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baseline"/>
        <w:rPr>
          <w:rFonts w:hint="eastAsia" w:ascii="仿宋" w:hAnsi="仿宋" w:eastAsia="仿宋" w:cs="仿宋"/>
          <w:b w:val="0"/>
          <w:bCs/>
          <w:color w:val="auto"/>
          <w:sz w:val="28"/>
          <w:szCs w:val="28"/>
        </w:rPr>
      </w:pPr>
    </w:p>
    <w:p w14:paraId="278D2B0B">
      <w:pPr>
        <w:keepNext w:val="0"/>
        <w:keepLines w:val="0"/>
        <w:pageBreakBefore w:val="0"/>
        <w:widowControl w:val="0"/>
        <w:kinsoku/>
        <w:wordWrap/>
        <w:overflowPunct w:val="0"/>
        <w:topLinePunct w:val="0"/>
        <w:autoSpaceDE/>
        <w:autoSpaceDN/>
        <w:bidi w:val="0"/>
        <w:adjustRightInd w:val="0"/>
        <w:snapToGrid w:val="0"/>
        <w:spacing w:before="68" w:line="360" w:lineRule="auto"/>
        <w:ind w:left="4"/>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6"/>
          <w:sz w:val="30"/>
          <w:szCs w:val="30"/>
        </w:rPr>
        <w:t>发包人</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全称</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p>
    <w:p w14:paraId="20F0AE3C">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baseline"/>
        <w:rPr>
          <w:rFonts w:hint="eastAsia" w:ascii="仿宋" w:hAnsi="仿宋" w:eastAsia="仿宋" w:cs="仿宋"/>
          <w:b w:val="0"/>
          <w:bCs/>
          <w:color w:val="auto"/>
          <w:sz w:val="30"/>
          <w:szCs w:val="30"/>
          <w:u w:val="single" w:color="auto"/>
        </w:rPr>
      </w:pPr>
      <w:r>
        <w:rPr>
          <w:rFonts w:hint="eastAsia" w:ascii="仿宋" w:hAnsi="仿宋" w:eastAsia="仿宋" w:cs="仿宋"/>
          <w:b w:val="0"/>
          <w:bCs/>
          <w:color w:val="auto"/>
          <w:spacing w:val="10"/>
          <w:sz w:val="30"/>
          <w:szCs w:val="30"/>
        </w:rPr>
        <w:t>承</w:t>
      </w:r>
      <w:r>
        <w:rPr>
          <w:rFonts w:hint="eastAsia" w:ascii="仿宋" w:hAnsi="仿宋" w:eastAsia="仿宋" w:cs="仿宋"/>
          <w:b w:val="0"/>
          <w:bCs/>
          <w:color w:val="auto"/>
          <w:spacing w:val="6"/>
          <w:sz w:val="30"/>
          <w:szCs w:val="30"/>
        </w:rPr>
        <w:t>包人</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全称</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p>
    <w:p w14:paraId="201D1558">
      <w:pPr>
        <w:keepNext w:val="0"/>
        <w:keepLines w:val="0"/>
        <w:pageBreakBefore w:val="0"/>
        <w:widowControl w:val="0"/>
        <w:kinsoku/>
        <w:wordWrap/>
        <w:overflowPunct w:val="0"/>
        <w:topLinePunct w:val="0"/>
        <w:autoSpaceDE/>
        <w:autoSpaceDN/>
        <w:bidi w:val="0"/>
        <w:adjustRightInd w:val="0"/>
        <w:snapToGrid w:val="0"/>
        <w:spacing w:line="530" w:lineRule="exact"/>
        <w:ind w:firstLine="588"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3"/>
          <w:sz w:val="30"/>
          <w:szCs w:val="30"/>
        </w:rPr>
        <w:t>为</w:t>
      </w:r>
      <w:r>
        <w:rPr>
          <w:rFonts w:hint="eastAsia" w:ascii="仿宋" w:hAnsi="仿宋" w:eastAsia="仿宋" w:cs="仿宋"/>
          <w:b w:val="0"/>
          <w:bCs/>
          <w:color w:val="auto"/>
          <w:spacing w:val="-2"/>
          <w:sz w:val="30"/>
          <w:szCs w:val="30"/>
        </w:rPr>
        <w:t>了确保实现</w:t>
      </w:r>
      <w:r>
        <w:rPr>
          <w:rFonts w:hint="eastAsia" w:ascii="仿宋" w:hAnsi="仿宋" w:eastAsia="仿宋" w:cs="仿宋"/>
          <w:b w:val="0"/>
          <w:bCs/>
          <w:color w:val="auto"/>
          <w:spacing w:val="-2"/>
          <w:sz w:val="30"/>
          <w:szCs w:val="30"/>
          <w:u w:val="single" w:color="auto"/>
        </w:rPr>
        <w:t xml:space="preserve">        </w:t>
      </w:r>
      <w:r>
        <w:rPr>
          <w:rFonts w:hint="eastAsia" w:ascii="仿宋" w:hAnsi="仿宋" w:eastAsia="仿宋" w:cs="仿宋"/>
          <w:b w:val="0"/>
          <w:bCs/>
          <w:color w:val="auto"/>
          <w:spacing w:val="-2"/>
          <w:sz w:val="30"/>
          <w:szCs w:val="30"/>
        </w:rPr>
        <w:t xml:space="preserve"> 安全生产目标，进一步明确双方的安全管理责任，加强安全生产管理工作的</w:t>
      </w:r>
      <w:r>
        <w:rPr>
          <w:rFonts w:hint="eastAsia" w:ascii="仿宋" w:hAnsi="仿宋" w:eastAsia="仿宋" w:cs="仿宋"/>
          <w:b w:val="0"/>
          <w:bCs/>
          <w:color w:val="auto"/>
          <w:sz w:val="30"/>
          <w:szCs w:val="30"/>
        </w:rPr>
        <w:t xml:space="preserve"> </w:t>
      </w:r>
      <w:r>
        <w:rPr>
          <w:rFonts w:hint="eastAsia" w:ascii="仿宋" w:hAnsi="仿宋" w:eastAsia="仿宋" w:cs="仿宋"/>
          <w:b w:val="0"/>
          <w:bCs/>
          <w:color w:val="auto"/>
          <w:spacing w:val="2"/>
          <w:sz w:val="30"/>
          <w:szCs w:val="30"/>
        </w:rPr>
        <w:t>协调、管理力度，</w:t>
      </w:r>
      <w:r>
        <w:rPr>
          <w:rFonts w:hint="eastAsia" w:ascii="仿宋" w:hAnsi="仿宋" w:eastAsia="仿宋" w:cs="仿宋"/>
          <w:b w:val="0"/>
          <w:bCs/>
          <w:color w:val="auto"/>
          <w:spacing w:val="2"/>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pacing w:val="2"/>
          <w:sz w:val="30"/>
          <w:szCs w:val="30"/>
          <w:u w:val="single" w:color="auto"/>
          <w:lang w:eastAsia="zh-CN"/>
        </w:rPr>
        <w:t>（</w:t>
      </w:r>
      <w:r>
        <w:rPr>
          <w:rFonts w:hint="eastAsia" w:ascii="仿宋" w:hAnsi="仿宋" w:eastAsia="仿宋" w:cs="仿宋"/>
          <w:b w:val="0"/>
          <w:bCs/>
          <w:color w:val="auto"/>
          <w:spacing w:val="2"/>
          <w:sz w:val="30"/>
          <w:szCs w:val="30"/>
        </w:rPr>
        <w:t>以下简称“发包人”</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与</w:t>
      </w:r>
      <w:r>
        <w:rPr>
          <w:rFonts w:hint="eastAsia" w:ascii="仿宋" w:hAnsi="仿宋" w:eastAsia="仿宋" w:cs="仿宋"/>
          <w:b w:val="0"/>
          <w:bCs/>
          <w:color w:val="auto"/>
          <w:spacing w:val="2"/>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pacing w:val="2"/>
          <w:sz w:val="30"/>
          <w:szCs w:val="30"/>
          <w:u w:val="single" w:color="auto"/>
          <w:lang w:eastAsia="zh-CN"/>
        </w:rPr>
        <w:t>（</w:t>
      </w:r>
      <w:r>
        <w:rPr>
          <w:rFonts w:hint="eastAsia" w:ascii="仿宋" w:hAnsi="仿宋" w:eastAsia="仿宋" w:cs="仿宋"/>
          <w:b w:val="0"/>
          <w:bCs/>
          <w:color w:val="auto"/>
          <w:spacing w:val="2"/>
          <w:sz w:val="30"/>
          <w:szCs w:val="30"/>
        </w:rPr>
        <w:t>以下简称“承包人”</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依</w:t>
      </w:r>
      <w:r>
        <w:rPr>
          <w:rFonts w:hint="eastAsia" w:ascii="仿宋" w:hAnsi="仿宋" w:eastAsia="仿宋" w:cs="仿宋"/>
          <w:b w:val="0"/>
          <w:bCs/>
          <w:color w:val="auto"/>
          <w:sz w:val="30"/>
          <w:szCs w:val="30"/>
        </w:rPr>
        <w:t xml:space="preserve">据国家安全 </w:t>
      </w:r>
      <w:r>
        <w:rPr>
          <w:rFonts w:hint="eastAsia" w:ascii="仿宋" w:hAnsi="仿宋" w:eastAsia="仿宋" w:cs="仿宋"/>
          <w:b w:val="0"/>
          <w:bCs/>
          <w:color w:val="auto"/>
          <w:spacing w:val="1"/>
          <w:sz w:val="30"/>
          <w:szCs w:val="30"/>
        </w:rPr>
        <w:t>生产相关的法律、法规和安全</w:t>
      </w:r>
      <w:r>
        <w:rPr>
          <w:rFonts w:hint="eastAsia" w:ascii="仿宋" w:hAnsi="仿宋" w:eastAsia="仿宋" w:cs="仿宋"/>
          <w:b w:val="0"/>
          <w:bCs/>
          <w:color w:val="auto"/>
          <w:sz w:val="30"/>
          <w:szCs w:val="30"/>
        </w:rPr>
        <w:t>方面的强制性国家标准或行业标准，双方同意签订该协议作为正式合同安</w:t>
      </w:r>
      <w:r>
        <w:rPr>
          <w:rFonts w:hint="eastAsia" w:ascii="仿宋" w:hAnsi="仿宋" w:eastAsia="仿宋" w:cs="仿宋"/>
          <w:b w:val="0"/>
          <w:bCs/>
          <w:color w:val="auto"/>
          <w:spacing w:val="-2"/>
          <w:sz w:val="30"/>
          <w:szCs w:val="30"/>
        </w:rPr>
        <w:t>全管理</w:t>
      </w:r>
      <w:r>
        <w:rPr>
          <w:rFonts w:hint="eastAsia" w:ascii="仿宋" w:hAnsi="仿宋" w:eastAsia="仿宋" w:cs="仿宋"/>
          <w:b w:val="0"/>
          <w:bCs/>
          <w:color w:val="auto"/>
          <w:spacing w:val="-1"/>
          <w:sz w:val="30"/>
          <w:szCs w:val="30"/>
        </w:rPr>
        <w:t>方面的补充规定，并承诺本协议具有与合同相同的法律效力。具体条款如下：</w:t>
      </w:r>
    </w:p>
    <w:p w14:paraId="548965FF">
      <w:pPr>
        <w:keepNext w:val="0"/>
        <w:keepLines w:val="0"/>
        <w:pageBreakBefore w:val="0"/>
        <w:widowControl w:val="0"/>
        <w:numPr>
          <w:ilvl w:val="0"/>
          <w:numId w:val="8"/>
        </w:numPr>
        <w:kinsoku/>
        <w:wordWrap/>
        <w:overflowPunct w:val="0"/>
        <w:topLinePunct w:val="0"/>
        <w:autoSpaceDE/>
        <w:autoSpaceDN/>
        <w:bidi w:val="0"/>
        <w:adjustRightInd w:val="0"/>
        <w:snapToGrid w:val="0"/>
        <w:spacing w:before="1" w:line="530" w:lineRule="exact"/>
        <w:ind w:left="424"/>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1"/>
          <w:sz w:val="30"/>
          <w:szCs w:val="30"/>
        </w:rPr>
        <w:t>协议有效期限</w:t>
      </w:r>
    </w:p>
    <w:p w14:paraId="0F31144F">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本协议中所涉及的安全管</w:t>
      </w:r>
      <w:r>
        <w:rPr>
          <w:rFonts w:hint="eastAsia" w:ascii="仿宋" w:hAnsi="仿宋" w:eastAsia="仿宋" w:cs="仿宋"/>
          <w:b w:val="0"/>
          <w:bCs/>
          <w:color w:val="auto"/>
          <w:sz w:val="30"/>
          <w:szCs w:val="30"/>
        </w:rPr>
        <w:t>理责任自合同订立之日起开始生效，至合同工程全部完工验收且经发包人</w:t>
      </w:r>
      <w:r>
        <w:rPr>
          <w:rFonts w:hint="eastAsia" w:ascii="仿宋" w:hAnsi="仿宋" w:eastAsia="仿宋" w:cs="仿宋"/>
          <w:b w:val="0"/>
          <w:bCs/>
          <w:color w:val="auto"/>
          <w:spacing w:val="-2"/>
          <w:sz w:val="30"/>
          <w:szCs w:val="30"/>
        </w:rPr>
        <w:t>与承包人签订移交协议生效后之日终</w:t>
      </w:r>
      <w:r>
        <w:rPr>
          <w:rFonts w:hint="eastAsia" w:ascii="仿宋" w:hAnsi="仿宋" w:eastAsia="仿宋" w:cs="仿宋"/>
          <w:b w:val="0"/>
          <w:bCs/>
          <w:color w:val="auto"/>
          <w:spacing w:val="-1"/>
          <w:sz w:val="30"/>
          <w:szCs w:val="30"/>
        </w:rPr>
        <w:t>止</w:t>
      </w:r>
      <w:r>
        <w:rPr>
          <w:rFonts w:hint="eastAsia" w:ascii="仿宋" w:hAnsi="仿宋" w:eastAsia="仿宋" w:cs="仿宋"/>
          <w:b w:val="0"/>
          <w:bCs/>
          <w:color w:val="auto"/>
          <w:sz w:val="30"/>
          <w:szCs w:val="30"/>
        </w:rPr>
        <w:t>。</w:t>
      </w:r>
    </w:p>
    <w:p w14:paraId="4B5A224B">
      <w:pPr>
        <w:keepNext w:val="0"/>
        <w:keepLines w:val="0"/>
        <w:pageBreakBefore w:val="0"/>
        <w:widowControl w:val="0"/>
        <w:numPr>
          <w:ilvl w:val="0"/>
          <w:numId w:val="8"/>
        </w:numPr>
        <w:kinsoku/>
        <w:wordWrap/>
        <w:overflowPunct w:val="0"/>
        <w:topLinePunct w:val="0"/>
        <w:autoSpaceDE/>
        <w:autoSpaceDN/>
        <w:bidi w:val="0"/>
        <w:adjustRightInd w:val="0"/>
        <w:snapToGrid w:val="0"/>
        <w:spacing w:before="1" w:line="530" w:lineRule="exact"/>
        <w:ind w:left="424" w:leftChars="0" w:firstLine="0" w:firstLineChars="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1"/>
          <w:sz w:val="30"/>
          <w:szCs w:val="30"/>
        </w:rPr>
        <w:t>责任目标</w:t>
      </w:r>
    </w:p>
    <w:p w14:paraId="3F5A2182">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left="424" w:leftChars="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lang w:val="en-US" w:eastAsia="zh-CN"/>
        </w:rPr>
        <w:t>一）</w:t>
      </w:r>
      <w:r>
        <w:rPr>
          <w:rFonts w:hint="eastAsia" w:ascii="仿宋" w:hAnsi="仿宋" w:eastAsia="仿宋" w:cs="仿宋"/>
          <w:b w:val="0"/>
          <w:bCs/>
          <w:color w:val="auto"/>
          <w:spacing w:val="5"/>
          <w:sz w:val="30"/>
          <w:szCs w:val="30"/>
        </w:rPr>
        <w:t>承包人承诺承担和履行合同和发包人所规定的安全责任，且满足要求。</w:t>
      </w:r>
    </w:p>
    <w:p w14:paraId="0B603F81">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40"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6"/>
          <w:sz w:val="30"/>
          <w:szCs w:val="30"/>
        </w:rPr>
        <w:t>二</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承包人的安全控制目标是确保本工程在实施过程中：</w:t>
      </w:r>
    </w:p>
    <w:p w14:paraId="512B35EE">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576"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6"/>
          <w:sz w:val="30"/>
          <w:szCs w:val="30"/>
        </w:rPr>
        <w:t>1</w:t>
      </w:r>
      <w:r>
        <w:rPr>
          <w:rFonts w:hint="eastAsia" w:ascii="仿宋" w:hAnsi="仿宋" w:eastAsia="仿宋" w:cs="仿宋"/>
          <w:b w:val="0"/>
          <w:bCs/>
          <w:color w:val="auto"/>
          <w:spacing w:val="-5"/>
          <w:sz w:val="30"/>
          <w:szCs w:val="30"/>
        </w:rPr>
        <w:t>．不发生人身重伤事故；</w:t>
      </w:r>
    </w:p>
    <w:p w14:paraId="0F86440F">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568"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8"/>
          <w:sz w:val="30"/>
          <w:szCs w:val="30"/>
        </w:rPr>
        <w:t>2．</w:t>
      </w:r>
      <w:r>
        <w:rPr>
          <w:rFonts w:hint="eastAsia" w:ascii="仿宋" w:hAnsi="仿宋" w:eastAsia="仿宋" w:cs="仿宋"/>
          <w:b w:val="0"/>
          <w:bCs/>
          <w:color w:val="auto"/>
          <w:spacing w:val="-4"/>
          <w:sz w:val="30"/>
          <w:szCs w:val="30"/>
        </w:rPr>
        <w:t>不发生火灾事故；</w:t>
      </w:r>
    </w:p>
    <w:p w14:paraId="60763516">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592"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3．不发生负有同等及以上事故</w:t>
      </w:r>
      <w:r>
        <w:rPr>
          <w:rFonts w:hint="eastAsia" w:ascii="仿宋" w:hAnsi="仿宋" w:eastAsia="仿宋" w:cs="仿宋"/>
          <w:b w:val="0"/>
          <w:bCs/>
          <w:color w:val="auto"/>
          <w:spacing w:val="-1"/>
          <w:sz w:val="30"/>
          <w:szCs w:val="30"/>
        </w:rPr>
        <w:t>责任的造成人身重伤的一般交通事故；</w:t>
      </w:r>
    </w:p>
    <w:p w14:paraId="3A8CAC8E">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16"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4"/>
          <w:sz w:val="30"/>
          <w:szCs w:val="30"/>
        </w:rPr>
        <w:t>4．不发生集</w:t>
      </w:r>
      <w:r>
        <w:rPr>
          <w:rFonts w:hint="eastAsia" w:ascii="仿宋" w:hAnsi="仿宋" w:eastAsia="仿宋" w:cs="仿宋"/>
          <w:b w:val="0"/>
          <w:bCs/>
          <w:color w:val="auto"/>
          <w:spacing w:val="3"/>
          <w:sz w:val="30"/>
          <w:szCs w:val="30"/>
        </w:rPr>
        <w:t>体</w:t>
      </w:r>
      <w:r>
        <w:rPr>
          <w:rFonts w:hint="eastAsia" w:ascii="仿宋" w:hAnsi="仿宋" w:eastAsia="仿宋" w:cs="仿宋"/>
          <w:b w:val="0"/>
          <w:bCs/>
          <w:color w:val="auto"/>
          <w:spacing w:val="2"/>
          <w:sz w:val="30"/>
          <w:szCs w:val="30"/>
        </w:rPr>
        <w:t>食物中毒事件</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同时 5 人及以上的食物中毒</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w:t>
      </w:r>
    </w:p>
    <w:p w14:paraId="6D881702">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08"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5．不发生流行性传染病</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无甲型传染</w:t>
      </w:r>
      <w:r>
        <w:rPr>
          <w:rFonts w:hint="eastAsia" w:ascii="仿宋" w:hAnsi="仿宋" w:eastAsia="仿宋" w:cs="仿宋"/>
          <w:b w:val="0"/>
          <w:bCs/>
          <w:color w:val="auto"/>
          <w:spacing w:val="1"/>
          <w:sz w:val="30"/>
          <w:szCs w:val="30"/>
        </w:rPr>
        <w:t>病、其他常见传染病未形成多人同时患病</w:t>
      </w: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rPr>
        <w:t>；</w:t>
      </w:r>
    </w:p>
    <w:p w14:paraId="23A22E02">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16" w:firstLineChars="200"/>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4"/>
          <w:sz w:val="30"/>
          <w:szCs w:val="30"/>
        </w:rPr>
        <w:t>6．不发生重大环境污染事件</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生活、工业垃圾及其他污染物造成环境污染和大面积水土流失</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3"/>
          <w:sz w:val="30"/>
          <w:szCs w:val="30"/>
        </w:rPr>
        <w:t>；</w:t>
      </w:r>
    </w:p>
    <w:p w14:paraId="08A437B1">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08"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2"/>
          <w:sz w:val="30"/>
          <w:szCs w:val="30"/>
        </w:rPr>
        <w:t>7．不发生对施工区附近生产、生活造成重大影响的事件</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如造成重大设备损坏、重大财产损</w:t>
      </w:r>
      <w:r>
        <w:rPr>
          <w:rFonts w:hint="eastAsia" w:ascii="仿宋" w:hAnsi="仿宋" w:eastAsia="仿宋" w:cs="仿宋"/>
          <w:b w:val="0"/>
          <w:bCs/>
          <w:color w:val="auto"/>
          <w:sz w:val="30"/>
          <w:szCs w:val="30"/>
        </w:rPr>
        <w:t>失、</w:t>
      </w:r>
      <w:r>
        <w:rPr>
          <w:rFonts w:hint="eastAsia" w:ascii="仿宋" w:hAnsi="仿宋" w:eastAsia="仿宋" w:cs="仿宋"/>
          <w:b w:val="0"/>
          <w:bCs/>
          <w:color w:val="auto"/>
          <w:spacing w:val="7"/>
          <w:sz w:val="30"/>
          <w:szCs w:val="30"/>
        </w:rPr>
        <w:t>人员伤害等</w:t>
      </w:r>
      <w:r>
        <w:rPr>
          <w:rFonts w:hint="eastAsia" w:ascii="仿宋" w:hAnsi="仿宋" w:eastAsia="仿宋" w:cs="仿宋"/>
          <w:b w:val="0"/>
          <w:bCs/>
          <w:color w:val="auto"/>
          <w:spacing w:val="7"/>
          <w:sz w:val="30"/>
          <w:szCs w:val="30"/>
          <w:lang w:eastAsia="zh-CN"/>
        </w:rPr>
        <w:t>）</w:t>
      </w:r>
      <w:r>
        <w:rPr>
          <w:rFonts w:hint="eastAsia" w:ascii="仿宋" w:hAnsi="仿宋" w:eastAsia="仿宋" w:cs="仿宋"/>
          <w:b w:val="0"/>
          <w:bCs/>
          <w:color w:val="auto"/>
          <w:spacing w:val="6"/>
          <w:sz w:val="30"/>
          <w:szCs w:val="30"/>
        </w:rPr>
        <w:t>；</w:t>
      </w:r>
    </w:p>
    <w:p w14:paraId="3737B807">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8．不发生治安保卫事件</w:t>
      </w: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rPr>
        <w:t>构成刑事拘</w:t>
      </w:r>
      <w:r>
        <w:rPr>
          <w:rFonts w:hint="eastAsia" w:ascii="仿宋" w:hAnsi="仿宋" w:eastAsia="仿宋" w:cs="仿宋"/>
          <w:b w:val="0"/>
          <w:bCs/>
          <w:color w:val="auto"/>
          <w:sz w:val="30"/>
          <w:szCs w:val="30"/>
        </w:rPr>
        <w:t>留及以上的事件、盗窃直接损失超过 1 万元人民币的事</w:t>
      </w:r>
      <w:r>
        <w:rPr>
          <w:rFonts w:hint="eastAsia" w:ascii="仿宋" w:hAnsi="仿宋" w:eastAsia="仿宋" w:cs="仿宋"/>
          <w:b w:val="0"/>
          <w:bCs/>
          <w:color w:val="auto"/>
          <w:spacing w:val="24"/>
          <w:sz w:val="30"/>
          <w:szCs w:val="30"/>
        </w:rPr>
        <w:t>件</w:t>
      </w:r>
      <w:r>
        <w:rPr>
          <w:rFonts w:hint="eastAsia" w:ascii="仿宋" w:hAnsi="仿宋" w:eastAsia="仿宋" w:cs="仿宋"/>
          <w:b w:val="0"/>
          <w:bCs/>
          <w:color w:val="auto"/>
          <w:spacing w:val="24"/>
          <w:sz w:val="30"/>
          <w:szCs w:val="30"/>
          <w:lang w:eastAsia="zh-CN"/>
        </w:rPr>
        <w:t>）</w:t>
      </w:r>
      <w:r>
        <w:rPr>
          <w:rFonts w:hint="eastAsia" w:ascii="仿宋" w:hAnsi="仿宋" w:eastAsia="仿宋" w:cs="仿宋"/>
          <w:b w:val="0"/>
          <w:bCs/>
          <w:color w:val="auto"/>
          <w:spacing w:val="22"/>
          <w:sz w:val="30"/>
          <w:szCs w:val="30"/>
        </w:rPr>
        <w:t>。</w:t>
      </w:r>
    </w:p>
    <w:p w14:paraId="2176ACEA">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2"/>
          <w:sz w:val="30"/>
          <w:szCs w:val="30"/>
          <w:lang w:eastAsia="zh-CN"/>
        </w:rPr>
        <w:t>（</w:t>
      </w:r>
      <w:r>
        <w:rPr>
          <w:rFonts w:hint="eastAsia" w:ascii="仿宋" w:hAnsi="仿宋" w:eastAsia="仿宋" w:cs="仿宋"/>
          <w:b w:val="0"/>
          <w:bCs/>
          <w:color w:val="auto"/>
          <w:spacing w:val="12"/>
          <w:sz w:val="30"/>
          <w:szCs w:val="30"/>
        </w:rPr>
        <w:t>三</w:t>
      </w:r>
      <w:r>
        <w:rPr>
          <w:rFonts w:hint="eastAsia" w:ascii="仿宋" w:hAnsi="仿宋" w:eastAsia="仿宋" w:cs="仿宋"/>
          <w:b w:val="0"/>
          <w:bCs/>
          <w:color w:val="auto"/>
          <w:spacing w:val="12"/>
          <w:sz w:val="30"/>
          <w:szCs w:val="30"/>
          <w:lang w:eastAsia="zh-CN"/>
        </w:rPr>
        <w:t>）</w:t>
      </w:r>
      <w:r>
        <w:rPr>
          <w:rFonts w:hint="eastAsia" w:ascii="仿宋" w:hAnsi="仿宋" w:eastAsia="仿宋" w:cs="仿宋"/>
          <w:b w:val="0"/>
          <w:bCs/>
          <w:color w:val="auto"/>
          <w:spacing w:val="6"/>
          <w:sz w:val="30"/>
          <w:szCs w:val="30"/>
        </w:rPr>
        <w:t>承包人承诺在施工中控制以下安全事故的发生：</w:t>
      </w:r>
    </w:p>
    <w:p w14:paraId="3B0728D3">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5"/>
          <w:sz w:val="30"/>
          <w:szCs w:val="30"/>
        </w:rPr>
        <w:t>1．人员轻伤事故</w:t>
      </w:r>
      <w:r>
        <w:rPr>
          <w:rFonts w:hint="eastAsia" w:ascii="仿宋" w:hAnsi="仿宋" w:eastAsia="仿宋" w:cs="仿宋"/>
          <w:b w:val="0"/>
          <w:bCs/>
          <w:color w:val="auto"/>
          <w:spacing w:val="-4"/>
          <w:sz w:val="30"/>
          <w:szCs w:val="30"/>
        </w:rPr>
        <w:t>。</w:t>
      </w:r>
    </w:p>
    <w:p w14:paraId="6ECA21DF">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2．负有同</w:t>
      </w:r>
      <w:r>
        <w:rPr>
          <w:rFonts w:hint="eastAsia" w:ascii="仿宋" w:hAnsi="仿宋" w:eastAsia="仿宋" w:cs="仿宋"/>
          <w:b w:val="0"/>
          <w:bCs/>
          <w:color w:val="auto"/>
          <w:spacing w:val="-1"/>
          <w:sz w:val="30"/>
          <w:szCs w:val="30"/>
        </w:rPr>
        <w:t>等及以上事故责任的人身轻伤交通事故。</w:t>
      </w:r>
    </w:p>
    <w:p w14:paraId="0101EF61">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2"/>
          <w:sz w:val="30"/>
          <w:szCs w:val="30"/>
        </w:rPr>
        <w:t>3．其他安全未遂事故和异常事件。</w:t>
      </w:r>
    </w:p>
    <w:p w14:paraId="62F347C6">
      <w:pPr>
        <w:keepNext w:val="0"/>
        <w:keepLines w:val="0"/>
        <w:pageBreakBefore w:val="0"/>
        <w:widowControl w:val="0"/>
        <w:kinsoku/>
        <w:wordWrap/>
        <w:overflowPunct w:val="0"/>
        <w:topLinePunct w:val="0"/>
        <w:autoSpaceDE/>
        <w:autoSpaceDN/>
        <w:bidi w:val="0"/>
        <w:adjustRightInd w:val="0"/>
        <w:snapToGrid w:val="0"/>
        <w:spacing w:before="192"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三、安全责</w:t>
      </w:r>
      <w:r>
        <w:rPr>
          <w:rFonts w:hint="eastAsia" w:ascii="仿宋" w:hAnsi="仿宋" w:eastAsia="仿宋" w:cs="仿宋"/>
          <w:b w:val="0"/>
          <w:bCs/>
          <w:color w:val="auto"/>
          <w:sz w:val="30"/>
          <w:szCs w:val="30"/>
        </w:rPr>
        <w:t>任</w:t>
      </w:r>
    </w:p>
    <w:p w14:paraId="0C80F396">
      <w:pPr>
        <w:keepNext w:val="0"/>
        <w:keepLines w:val="0"/>
        <w:pageBreakBefore w:val="0"/>
        <w:widowControl w:val="0"/>
        <w:kinsoku/>
        <w:wordWrap/>
        <w:overflowPunct w:val="0"/>
        <w:topLinePunct w:val="0"/>
        <w:autoSpaceDE/>
        <w:autoSpaceDN/>
        <w:bidi w:val="0"/>
        <w:adjustRightInd w:val="0"/>
        <w:snapToGrid w:val="0"/>
        <w:spacing w:before="216" w:line="530" w:lineRule="exact"/>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1．承包人负有安全生产的管理责任和直接责任</w:t>
      </w:r>
      <w:r>
        <w:rPr>
          <w:rFonts w:hint="eastAsia" w:ascii="仿宋" w:hAnsi="仿宋" w:eastAsia="仿宋" w:cs="仿宋"/>
          <w:b w:val="0"/>
          <w:bCs/>
          <w:color w:val="auto"/>
          <w:sz w:val="30"/>
          <w:szCs w:val="30"/>
        </w:rPr>
        <w:t>。</w:t>
      </w:r>
    </w:p>
    <w:p w14:paraId="74A7014D">
      <w:pPr>
        <w:keepNext w:val="0"/>
        <w:keepLines w:val="0"/>
        <w:pageBreakBefore w:val="0"/>
        <w:widowControl w:val="0"/>
        <w:kinsoku/>
        <w:wordWrap/>
        <w:overflowPunct w:val="0"/>
        <w:topLinePunct w:val="0"/>
        <w:autoSpaceDE/>
        <w:autoSpaceDN/>
        <w:bidi w:val="0"/>
        <w:adjustRightInd w:val="0"/>
        <w:snapToGrid w:val="0"/>
        <w:spacing w:before="216"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2．承包人的法人或签署合同的公司总经理或</w:t>
      </w:r>
      <w:r>
        <w:rPr>
          <w:rFonts w:hint="eastAsia" w:ascii="仿宋" w:hAnsi="仿宋" w:eastAsia="仿宋" w:cs="仿宋"/>
          <w:b w:val="0"/>
          <w:bCs/>
          <w:color w:val="auto"/>
          <w:sz w:val="30"/>
          <w:szCs w:val="30"/>
        </w:rPr>
        <w:t>受委托的代理人对合同安全负有全面的领导责任。</w:t>
      </w:r>
    </w:p>
    <w:p w14:paraId="79280EDB">
      <w:pPr>
        <w:keepNext w:val="0"/>
        <w:keepLines w:val="0"/>
        <w:pageBreakBefore w:val="0"/>
        <w:widowControl w:val="0"/>
        <w:kinsoku/>
        <w:wordWrap/>
        <w:overflowPunct w:val="0"/>
        <w:topLinePunct w:val="0"/>
        <w:autoSpaceDE/>
        <w:autoSpaceDN/>
        <w:bidi w:val="0"/>
        <w:adjustRightInd w:val="0"/>
        <w:snapToGrid w:val="0"/>
        <w:spacing w:before="190"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3．承包人项目经理对施工现场的安全工作负有全面的直接领</w:t>
      </w:r>
      <w:r>
        <w:rPr>
          <w:rFonts w:hint="eastAsia" w:ascii="仿宋" w:hAnsi="仿宋" w:eastAsia="仿宋" w:cs="仿宋"/>
          <w:b w:val="0"/>
          <w:bCs/>
          <w:color w:val="auto"/>
          <w:sz w:val="30"/>
          <w:szCs w:val="30"/>
        </w:rPr>
        <w:t>导责任。</w:t>
      </w:r>
    </w:p>
    <w:p w14:paraId="3B2A3EF2">
      <w:pPr>
        <w:keepNext w:val="0"/>
        <w:keepLines w:val="0"/>
        <w:pageBreakBefore w:val="0"/>
        <w:widowControl w:val="0"/>
        <w:kinsoku/>
        <w:wordWrap/>
        <w:overflowPunct w:val="0"/>
        <w:topLinePunct w:val="0"/>
        <w:autoSpaceDE/>
        <w:autoSpaceDN/>
        <w:bidi w:val="0"/>
        <w:adjustRightInd w:val="0"/>
        <w:snapToGrid w:val="0"/>
        <w:spacing w:before="192"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4．承包人保证执行“谁施工、谁负责”的施工安全原</w:t>
      </w:r>
      <w:r>
        <w:rPr>
          <w:rFonts w:hint="eastAsia" w:ascii="仿宋" w:hAnsi="仿宋" w:eastAsia="仿宋" w:cs="仿宋"/>
          <w:b w:val="0"/>
          <w:bCs/>
          <w:color w:val="auto"/>
          <w:sz w:val="30"/>
          <w:szCs w:val="30"/>
        </w:rPr>
        <w:t>则。</w:t>
      </w:r>
    </w:p>
    <w:p w14:paraId="188BDE75">
      <w:pPr>
        <w:keepNext w:val="0"/>
        <w:keepLines w:val="0"/>
        <w:pageBreakBefore w:val="0"/>
        <w:widowControl w:val="0"/>
        <w:kinsoku/>
        <w:wordWrap/>
        <w:overflowPunct w:val="0"/>
        <w:topLinePunct w:val="0"/>
        <w:autoSpaceDE/>
        <w:autoSpaceDN/>
        <w:bidi w:val="0"/>
        <w:adjustRightInd w:val="0"/>
        <w:snapToGrid w:val="0"/>
        <w:spacing w:before="205" w:line="530" w:lineRule="exact"/>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5．承</w:t>
      </w:r>
      <w:r>
        <w:rPr>
          <w:rFonts w:hint="eastAsia" w:ascii="仿宋" w:hAnsi="仿宋" w:eastAsia="仿宋" w:cs="仿宋"/>
          <w:b w:val="0"/>
          <w:bCs/>
          <w:color w:val="auto"/>
          <w:spacing w:val="-1"/>
          <w:sz w:val="30"/>
          <w:szCs w:val="30"/>
        </w:rPr>
        <w:t>包人保证服从发包人对安全工作的统一协调和管理。</w:t>
      </w:r>
    </w:p>
    <w:p w14:paraId="6DCFA3BE">
      <w:pPr>
        <w:keepNext w:val="0"/>
        <w:keepLines w:val="0"/>
        <w:pageBreakBefore w:val="0"/>
        <w:widowControl w:val="0"/>
        <w:kinsoku/>
        <w:wordWrap/>
        <w:overflowPunct w:val="0"/>
        <w:topLinePunct w:val="0"/>
        <w:autoSpaceDE/>
        <w:autoSpaceDN/>
        <w:bidi w:val="0"/>
        <w:adjustRightInd w:val="0"/>
        <w:snapToGrid w:val="0"/>
        <w:spacing w:before="192"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6．承包人保证对本工程项目安全生产条件</w:t>
      </w:r>
      <w:r>
        <w:rPr>
          <w:rFonts w:hint="eastAsia" w:ascii="仿宋" w:hAnsi="仿宋" w:eastAsia="仿宋" w:cs="仿宋"/>
          <w:b w:val="0"/>
          <w:bCs/>
          <w:color w:val="auto"/>
          <w:sz w:val="30"/>
          <w:szCs w:val="30"/>
        </w:rPr>
        <w:t>及其管理资源自行投入，保证安全资金的专款专用。</w:t>
      </w:r>
    </w:p>
    <w:p w14:paraId="5B03943A">
      <w:pPr>
        <w:keepNext w:val="0"/>
        <w:keepLines w:val="0"/>
        <w:pageBreakBefore w:val="0"/>
        <w:widowControl w:val="0"/>
        <w:kinsoku/>
        <w:wordWrap/>
        <w:overflowPunct w:val="0"/>
        <w:topLinePunct w:val="0"/>
        <w:autoSpaceDE/>
        <w:autoSpaceDN/>
        <w:bidi w:val="0"/>
        <w:adjustRightInd w:val="0"/>
        <w:snapToGrid w:val="0"/>
        <w:spacing w:before="192" w:line="530" w:lineRule="exact"/>
        <w:ind w:firstLine="61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7．承包人保证</w:t>
      </w:r>
      <w:r>
        <w:rPr>
          <w:rFonts w:hint="eastAsia" w:ascii="仿宋" w:hAnsi="仿宋" w:eastAsia="仿宋" w:cs="仿宋"/>
          <w:b w:val="0"/>
          <w:bCs/>
          <w:color w:val="auto"/>
          <w:spacing w:val="3"/>
          <w:sz w:val="30"/>
          <w:szCs w:val="30"/>
        </w:rPr>
        <w:t>建</w:t>
      </w:r>
      <w:r>
        <w:rPr>
          <w:rFonts w:hint="eastAsia" w:ascii="仿宋" w:hAnsi="仿宋" w:eastAsia="仿宋" w:cs="仿宋"/>
          <w:b w:val="0"/>
          <w:bCs/>
          <w:color w:val="auto"/>
          <w:spacing w:val="2"/>
          <w:sz w:val="30"/>
          <w:szCs w:val="30"/>
        </w:rPr>
        <w:t>立本工程项目的安全管理体系及安全保证体系</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注：项目安全管理大纲/手册、管</w:t>
      </w:r>
      <w:r>
        <w:rPr>
          <w:rFonts w:hint="eastAsia" w:ascii="仿宋" w:hAnsi="仿宋" w:eastAsia="仿宋" w:cs="仿宋"/>
          <w:b w:val="0"/>
          <w:bCs/>
          <w:color w:val="auto"/>
          <w:spacing w:val="7"/>
          <w:sz w:val="30"/>
          <w:szCs w:val="30"/>
        </w:rPr>
        <w:t>理性的程序文件等</w:t>
      </w:r>
      <w:r>
        <w:rPr>
          <w:rFonts w:hint="eastAsia" w:ascii="仿宋" w:hAnsi="仿宋" w:eastAsia="仿宋" w:cs="仿宋"/>
          <w:b w:val="0"/>
          <w:bCs/>
          <w:color w:val="auto"/>
          <w:spacing w:val="7"/>
          <w:sz w:val="30"/>
          <w:szCs w:val="30"/>
          <w:lang w:eastAsia="zh-CN"/>
        </w:rPr>
        <w:t>）</w:t>
      </w:r>
      <w:r>
        <w:rPr>
          <w:rFonts w:hint="eastAsia" w:ascii="仿宋" w:hAnsi="仿宋" w:eastAsia="仿宋" w:cs="仿宋"/>
          <w:b w:val="0"/>
          <w:bCs/>
          <w:color w:val="auto"/>
          <w:spacing w:val="5"/>
          <w:sz w:val="30"/>
          <w:szCs w:val="30"/>
        </w:rPr>
        <w:t>。</w:t>
      </w:r>
    </w:p>
    <w:p w14:paraId="02CEF3F8">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8．承包人保证现场的安全管理专职人员必</w:t>
      </w:r>
      <w:r>
        <w:rPr>
          <w:rFonts w:hint="eastAsia" w:ascii="仿宋" w:hAnsi="仿宋" w:eastAsia="仿宋" w:cs="仿宋"/>
          <w:b w:val="0"/>
          <w:bCs/>
          <w:color w:val="auto"/>
          <w:sz w:val="30"/>
          <w:szCs w:val="30"/>
        </w:rPr>
        <w:t>须持有建设主管部门安全生产培训考核合格证书。</w:t>
      </w:r>
    </w:p>
    <w:p w14:paraId="3AA2B18B">
      <w:pPr>
        <w:keepNext w:val="0"/>
        <w:keepLines w:val="0"/>
        <w:pageBreakBefore w:val="0"/>
        <w:widowControl w:val="0"/>
        <w:kinsoku/>
        <w:wordWrap/>
        <w:overflowPunct w:val="0"/>
        <w:topLinePunct w:val="0"/>
        <w:autoSpaceDE/>
        <w:autoSpaceDN/>
        <w:bidi w:val="0"/>
        <w:adjustRightInd w:val="0"/>
        <w:snapToGrid w:val="0"/>
        <w:spacing w:line="530" w:lineRule="exact"/>
        <w:ind w:firstLine="620"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5"/>
          <w:sz w:val="30"/>
          <w:szCs w:val="30"/>
        </w:rPr>
        <w:t>9．承包人保证为现场所有工作人员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含分包商员工及劳务人员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配备符合国家标准的有承包人</w:t>
      </w:r>
      <w:r>
        <w:rPr>
          <w:rFonts w:hint="eastAsia" w:ascii="仿宋" w:hAnsi="仿宋" w:eastAsia="仿宋" w:cs="仿宋"/>
          <w:b w:val="0"/>
          <w:bCs/>
          <w:color w:val="auto"/>
          <w:spacing w:val="2"/>
          <w:sz w:val="30"/>
          <w:szCs w:val="30"/>
        </w:rPr>
        <w:t>和</w:t>
      </w:r>
      <w:r>
        <w:rPr>
          <w:rFonts w:hint="eastAsia" w:ascii="仿宋" w:hAnsi="仿宋" w:eastAsia="仿宋" w:cs="仿宋"/>
          <w:b w:val="0"/>
          <w:bCs/>
          <w:color w:val="auto"/>
          <w:sz w:val="30"/>
          <w:szCs w:val="30"/>
        </w:rPr>
        <w:t>/</w:t>
      </w:r>
      <w:r>
        <w:rPr>
          <w:rFonts w:hint="eastAsia" w:ascii="仿宋" w:hAnsi="仿宋" w:eastAsia="仿宋" w:cs="仿宋"/>
          <w:b w:val="0"/>
          <w:bCs/>
          <w:color w:val="auto"/>
          <w:spacing w:val="-2"/>
          <w:sz w:val="30"/>
          <w:szCs w:val="30"/>
        </w:rPr>
        <w:t>或其下属分包商标志</w:t>
      </w:r>
      <w:r>
        <w:rPr>
          <w:rFonts w:hint="eastAsia" w:ascii="仿宋" w:hAnsi="仿宋" w:eastAsia="仿宋" w:cs="仿宋"/>
          <w:b w:val="0"/>
          <w:bCs/>
          <w:color w:val="auto"/>
          <w:spacing w:val="-1"/>
          <w:sz w:val="30"/>
          <w:szCs w:val="30"/>
        </w:rPr>
        <w:t>的个人基本劳动保护用品。</w:t>
      </w:r>
    </w:p>
    <w:p w14:paraId="265A82A1">
      <w:pPr>
        <w:keepNext w:val="0"/>
        <w:keepLines w:val="0"/>
        <w:pageBreakBefore w:val="0"/>
        <w:widowControl w:val="0"/>
        <w:kinsoku/>
        <w:wordWrap/>
        <w:overflowPunct w:val="0"/>
        <w:topLinePunct w:val="0"/>
        <w:autoSpaceDE/>
        <w:autoSpaceDN/>
        <w:bidi w:val="0"/>
        <w:adjustRightInd w:val="0"/>
        <w:snapToGrid w:val="0"/>
        <w:spacing w:line="530" w:lineRule="exact"/>
        <w:ind w:firstLine="632" w:firstLineChars="200"/>
        <w:jc w:val="both"/>
        <w:textAlignment w:val="baseline"/>
        <w:rPr>
          <w:rFonts w:hint="eastAsia" w:ascii="仿宋" w:hAnsi="仿宋" w:eastAsia="仿宋" w:cs="仿宋"/>
          <w:b w:val="0"/>
          <w:bCs/>
          <w:color w:val="auto"/>
          <w:spacing w:val="-8"/>
          <w:sz w:val="30"/>
          <w:szCs w:val="30"/>
        </w:rPr>
      </w:pPr>
      <w:r>
        <w:rPr>
          <w:rFonts w:hint="eastAsia" w:ascii="仿宋" w:hAnsi="仿宋" w:eastAsia="仿宋" w:cs="仿宋"/>
          <w:b w:val="0"/>
          <w:bCs/>
          <w:color w:val="auto"/>
          <w:spacing w:val="8"/>
          <w:sz w:val="30"/>
          <w:szCs w:val="30"/>
        </w:rPr>
        <w:t>10．承</w:t>
      </w:r>
      <w:r>
        <w:rPr>
          <w:rFonts w:hint="eastAsia" w:ascii="仿宋" w:hAnsi="仿宋" w:eastAsia="仿宋" w:cs="仿宋"/>
          <w:b w:val="0"/>
          <w:bCs/>
          <w:color w:val="auto"/>
          <w:spacing w:val="5"/>
          <w:sz w:val="30"/>
          <w:szCs w:val="30"/>
        </w:rPr>
        <w:t>包</w:t>
      </w:r>
      <w:r>
        <w:rPr>
          <w:rFonts w:hint="eastAsia" w:ascii="仿宋" w:hAnsi="仿宋" w:eastAsia="仿宋" w:cs="仿宋"/>
          <w:b w:val="0"/>
          <w:bCs/>
          <w:color w:val="auto"/>
          <w:spacing w:val="4"/>
          <w:sz w:val="30"/>
          <w:szCs w:val="30"/>
        </w:rPr>
        <w:t>人保证按照国家法律规定为现场所有工作人员</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含分包商员工及劳务人员</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购买意外伤害</w:t>
      </w:r>
      <w:r>
        <w:rPr>
          <w:rFonts w:hint="eastAsia" w:ascii="仿宋" w:hAnsi="仿宋" w:eastAsia="仿宋" w:cs="仿宋"/>
          <w:b w:val="0"/>
          <w:bCs/>
          <w:color w:val="auto"/>
          <w:spacing w:val="-10"/>
          <w:sz w:val="30"/>
          <w:szCs w:val="30"/>
        </w:rPr>
        <w:t>保</w:t>
      </w:r>
      <w:r>
        <w:rPr>
          <w:rFonts w:hint="eastAsia" w:ascii="仿宋" w:hAnsi="仿宋" w:eastAsia="仿宋" w:cs="仿宋"/>
          <w:b w:val="0"/>
          <w:bCs/>
          <w:color w:val="auto"/>
          <w:spacing w:val="-8"/>
          <w:sz w:val="30"/>
          <w:szCs w:val="30"/>
        </w:rPr>
        <w:t>险。</w:t>
      </w:r>
    </w:p>
    <w:p w14:paraId="67FFDAAB">
      <w:pPr>
        <w:keepNext w:val="0"/>
        <w:keepLines w:val="0"/>
        <w:pageBreakBefore w:val="0"/>
        <w:widowControl w:val="0"/>
        <w:kinsoku/>
        <w:wordWrap/>
        <w:overflowPunct w:val="0"/>
        <w:topLinePunct w:val="0"/>
        <w:autoSpaceDE/>
        <w:autoSpaceDN/>
        <w:bidi w:val="0"/>
        <w:adjustRightInd w:val="0"/>
        <w:snapToGrid w:val="0"/>
        <w:spacing w:line="530" w:lineRule="exact"/>
        <w:ind w:firstLine="632"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8"/>
          <w:sz w:val="30"/>
          <w:szCs w:val="30"/>
        </w:rPr>
        <w:t>11．承包</w:t>
      </w:r>
      <w:r>
        <w:rPr>
          <w:rFonts w:hint="eastAsia" w:ascii="仿宋" w:hAnsi="仿宋" w:eastAsia="仿宋" w:cs="仿宋"/>
          <w:b w:val="0"/>
          <w:bCs/>
          <w:color w:val="auto"/>
          <w:spacing w:val="7"/>
          <w:sz w:val="30"/>
          <w:szCs w:val="30"/>
        </w:rPr>
        <w:t>人</w:t>
      </w:r>
      <w:r>
        <w:rPr>
          <w:rFonts w:hint="eastAsia" w:ascii="仿宋" w:hAnsi="仿宋" w:eastAsia="仿宋" w:cs="仿宋"/>
          <w:b w:val="0"/>
          <w:bCs/>
          <w:color w:val="auto"/>
          <w:spacing w:val="4"/>
          <w:sz w:val="30"/>
          <w:szCs w:val="30"/>
        </w:rPr>
        <w:t>保证施工生活营地</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包括自建的和租用的营地</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满足消防、安全用电、卫生防疫、防暴</w:t>
      </w:r>
      <w:r>
        <w:rPr>
          <w:rFonts w:hint="eastAsia" w:ascii="仿宋" w:hAnsi="仿宋" w:eastAsia="仿宋" w:cs="仿宋"/>
          <w:b w:val="0"/>
          <w:bCs/>
          <w:color w:val="auto"/>
          <w:spacing w:val="-4"/>
          <w:sz w:val="30"/>
          <w:szCs w:val="30"/>
        </w:rPr>
        <w:t>雨、防雷击</w:t>
      </w:r>
      <w:r>
        <w:rPr>
          <w:rFonts w:hint="eastAsia" w:ascii="仿宋" w:hAnsi="仿宋" w:eastAsia="仿宋" w:cs="仿宋"/>
          <w:b w:val="0"/>
          <w:bCs/>
          <w:color w:val="auto"/>
          <w:spacing w:val="-2"/>
          <w:sz w:val="30"/>
          <w:szCs w:val="30"/>
        </w:rPr>
        <w:t>等方面的安全要求。</w:t>
      </w:r>
    </w:p>
    <w:p w14:paraId="15D9E1B4">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1"/>
          <w:sz w:val="30"/>
          <w:szCs w:val="30"/>
        </w:rPr>
        <w:t>12．承包人保证对带入现</w:t>
      </w:r>
      <w:r>
        <w:rPr>
          <w:rFonts w:hint="eastAsia" w:ascii="仿宋" w:hAnsi="仿宋" w:eastAsia="仿宋" w:cs="仿宋"/>
          <w:b w:val="0"/>
          <w:bCs/>
          <w:color w:val="auto"/>
          <w:sz w:val="30"/>
          <w:szCs w:val="30"/>
        </w:rPr>
        <w:t>场的设备、工具、材料按照国家法规和标准进行检测、试验，并持有法定</w:t>
      </w:r>
      <w:r>
        <w:rPr>
          <w:rFonts w:hint="eastAsia" w:ascii="仿宋" w:hAnsi="仿宋" w:eastAsia="仿宋" w:cs="仿宋"/>
          <w:b w:val="0"/>
          <w:bCs/>
          <w:color w:val="auto"/>
          <w:spacing w:val="-6"/>
          <w:sz w:val="30"/>
          <w:szCs w:val="30"/>
        </w:rPr>
        <w:t>部</w:t>
      </w:r>
      <w:r>
        <w:rPr>
          <w:rFonts w:hint="eastAsia" w:ascii="仿宋" w:hAnsi="仿宋" w:eastAsia="仿宋" w:cs="仿宋"/>
          <w:b w:val="0"/>
          <w:bCs/>
          <w:color w:val="auto"/>
          <w:spacing w:val="-3"/>
          <w:sz w:val="30"/>
          <w:szCs w:val="30"/>
        </w:rPr>
        <w:t>门出具的检验证书。</w:t>
      </w:r>
    </w:p>
    <w:p w14:paraId="5BA868CD">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1"/>
          <w:sz w:val="30"/>
          <w:szCs w:val="30"/>
        </w:rPr>
        <w:t>13．承包人保证制订施工现场的文</w:t>
      </w:r>
      <w:r>
        <w:rPr>
          <w:rFonts w:hint="eastAsia" w:ascii="仿宋" w:hAnsi="仿宋" w:eastAsia="仿宋" w:cs="仿宋"/>
          <w:b w:val="0"/>
          <w:bCs/>
          <w:color w:val="auto"/>
          <w:sz w:val="30"/>
          <w:szCs w:val="30"/>
        </w:rPr>
        <w:t>明施工措施，保护环境、树木和植被，保持施工现场的良好秩序</w:t>
      </w:r>
      <w:r>
        <w:rPr>
          <w:rFonts w:hint="eastAsia" w:ascii="仿宋" w:hAnsi="仿宋" w:eastAsia="仿宋" w:cs="仿宋"/>
          <w:b w:val="0"/>
          <w:bCs/>
          <w:color w:val="auto"/>
          <w:spacing w:val="-6"/>
          <w:sz w:val="30"/>
          <w:szCs w:val="30"/>
        </w:rPr>
        <w:t>和</w:t>
      </w:r>
      <w:r>
        <w:rPr>
          <w:rFonts w:hint="eastAsia" w:ascii="仿宋" w:hAnsi="仿宋" w:eastAsia="仿宋" w:cs="仿宋"/>
          <w:b w:val="0"/>
          <w:bCs/>
          <w:color w:val="auto"/>
          <w:spacing w:val="-5"/>
          <w:sz w:val="30"/>
          <w:szCs w:val="30"/>
        </w:rPr>
        <w:t>整</w:t>
      </w:r>
      <w:r>
        <w:rPr>
          <w:rFonts w:hint="eastAsia" w:ascii="仿宋" w:hAnsi="仿宋" w:eastAsia="仿宋" w:cs="仿宋"/>
          <w:b w:val="0"/>
          <w:bCs/>
          <w:color w:val="auto"/>
          <w:spacing w:val="-3"/>
          <w:sz w:val="30"/>
          <w:szCs w:val="30"/>
        </w:rPr>
        <w:t>洁的作业环境。</w:t>
      </w:r>
    </w:p>
    <w:p w14:paraId="0C51CDD7">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14．承包人负责在施工过</w:t>
      </w:r>
      <w:r>
        <w:rPr>
          <w:rFonts w:hint="eastAsia" w:ascii="仿宋" w:hAnsi="仿宋" w:eastAsia="仿宋" w:cs="仿宋"/>
          <w:b w:val="0"/>
          <w:bCs/>
          <w:color w:val="auto"/>
          <w:sz w:val="30"/>
          <w:szCs w:val="30"/>
        </w:rPr>
        <w:t>程中与当地政府、周边群众及其他承包商保持良好的沟通和交流。承包人</w:t>
      </w:r>
      <w:r>
        <w:rPr>
          <w:rFonts w:hint="eastAsia" w:ascii="仿宋" w:hAnsi="仿宋" w:eastAsia="仿宋" w:cs="仿宋"/>
          <w:b w:val="0"/>
          <w:bCs/>
          <w:color w:val="auto"/>
          <w:spacing w:val="-1"/>
          <w:sz w:val="30"/>
          <w:szCs w:val="30"/>
        </w:rPr>
        <w:t>遇到与周边群众发生纠纷时，应负责协调工作，确</w:t>
      </w:r>
      <w:r>
        <w:rPr>
          <w:rFonts w:hint="eastAsia" w:ascii="仿宋" w:hAnsi="仿宋" w:eastAsia="仿宋" w:cs="仿宋"/>
          <w:b w:val="0"/>
          <w:bCs/>
          <w:color w:val="auto"/>
          <w:sz w:val="30"/>
          <w:szCs w:val="30"/>
        </w:rPr>
        <w:t>保工程能够顺利进行。</w:t>
      </w:r>
    </w:p>
    <w:p w14:paraId="16DAE191">
      <w:pPr>
        <w:keepNext w:val="0"/>
        <w:keepLines w:val="0"/>
        <w:pageBreakBefore w:val="0"/>
        <w:widowControl w:val="0"/>
        <w:kinsoku/>
        <w:wordWrap/>
        <w:overflowPunct w:val="0"/>
        <w:topLinePunct w:val="0"/>
        <w:autoSpaceDE/>
        <w:autoSpaceDN/>
        <w:bidi w:val="0"/>
        <w:adjustRightInd w:val="0"/>
        <w:snapToGrid w:val="0"/>
        <w:spacing w:line="530" w:lineRule="exact"/>
        <w:ind w:left="441"/>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4"/>
          <w:sz w:val="30"/>
          <w:szCs w:val="30"/>
        </w:rPr>
        <w:t>四</w:t>
      </w:r>
      <w:r>
        <w:rPr>
          <w:rFonts w:hint="eastAsia" w:ascii="仿宋" w:hAnsi="仿宋" w:eastAsia="仿宋" w:cs="仿宋"/>
          <w:b w:val="0"/>
          <w:bCs/>
          <w:color w:val="auto"/>
          <w:spacing w:val="-3"/>
          <w:sz w:val="30"/>
          <w:szCs w:val="30"/>
        </w:rPr>
        <w:t>、接口及协调</w:t>
      </w:r>
    </w:p>
    <w:p w14:paraId="6BA762C4">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1"/>
          <w:sz w:val="30"/>
          <w:szCs w:val="30"/>
        </w:rPr>
        <w:t>1．发包人委托监理公司对该工程</w:t>
      </w:r>
      <w:r>
        <w:rPr>
          <w:rFonts w:hint="eastAsia" w:ascii="仿宋" w:hAnsi="仿宋" w:eastAsia="仿宋" w:cs="仿宋"/>
          <w:b w:val="0"/>
          <w:bCs/>
          <w:color w:val="auto"/>
          <w:sz w:val="30"/>
          <w:szCs w:val="30"/>
        </w:rPr>
        <w:t>实施监理，监理公司在安全管理方面代表发包人行使监督检查职</w:t>
      </w:r>
      <w:r>
        <w:rPr>
          <w:rFonts w:hint="eastAsia" w:ascii="仿宋" w:hAnsi="仿宋" w:eastAsia="仿宋" w:cs="仿宋"/>
          <w:b w:val="0"/>
          <w:bCs/>
          <w:color w:val="auto"/>
          <w:spacing w:val="-4"/>
          <w:sz w:val="30"/>
          <w:szCs w:val="30"/>
        </w:rPr>
        <w:t>能，承包</w:t>
      </w:r>
      <w:r>
        <w:rPr>
          <w:rFonts w:hint="eastAsia" w:ascii="仿宋" w:hAnsi="仿宋" w:eastAsia="仿宋" w:cs="仿宋"/>
          <w:b w:val="0"/>
          <w:bCs/>
          <w:color w:val="auto"/>
          <w:spacing w:val="-2"/>
          <w:sz w:val="30"/>
          <w:szCs w:val="30"/>
        </w:rPr>
        <w:t>人必须给予配合和支持。</w:t>
      </w:r>
    </w:p>
    <w:p w14:paraId="2AED0676">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2．承包人人员、车辆的出入，带入现场的设备</w:t>
      </w:r>
      <w:r>
        <w:rPr>
          <w:rFonts w:hint="eastAsia" w:ascii="仿宋" w:hAnsi="仿宋" w:eastAsia="仿宋" w:cs="仿宋"/>
          <w:b w:val="0"/>
          <w:bCs/>
          <w:color w:val="auto"/>
          <w:sz w:val="30"/>
          <w:szCs w:val="30"/>
        </w:rPr>
        <w:t>、机具、材料，在现场使用的或直接管理的办公、</w:t>
      </w:r>
      <w:r>
        <w:rPr>
          <w:rFonts w:hint="eastAsia" w:ascii="仿宋" w:hAnsi="仿宋" w:eastAsia="仿宋" w:cs="仿宋"/>
          <w:b w:val="0"/>
          <w:bCs/>
          <w:color w:val="auto"/>
          <w:spacing w:val="-1"/>
          <w:sz w:val="30"/>
          <w:szCs w:val="30"/>
        </w:rPr>
        <w:t>生活、生产性设施的安全管理须满足发包人现场管理的基本</w:t>
      </w:r>
      <w:r>
        <w:rPr>
          <w:rFonts w:hint="eastAsia" w:ascii="仿宋" w:hAnsi="仿宋" w:eastAsia="仿宋" w:cs="仿宋"/>
          <w:b w:val="0"/>
          <w:bCs/>
          <w:color w:val="auto"/>
          <w:sz w:val="30"/>
          <w:szCs w:val="30"/>
        </w:rPr>
        <w:t>要求。</w:t>
      </w:r>
    </w:p>
    <w:p w14:paraId="03AD1C78">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8"/>
          <w:sz w:val="30"/>
          <w:szCs w:val="30"/>
        </w:rPr>
      </w:pPr>
      <w:r>
        <w:rPr>
          <w:rFonts w:hint="eastAsia" w:ascii="仿宋" w:hAnsi="仿宋" w:eastAsia="仿宋" w:cs="仿宋"/>
          <w:b w:val="0"/>
          <w:bCs/>
          <w:color w:val="auto"/>
          <w:spacing w:val="-1"/>
          <w:sz w:val="30"/>
          <w:szCs w:val="30"/>
        </w:rPr>
        <w:t>3．承</w:t>
      </w:r>
      <w:r>
        <w:rPr>
          <w:rFonts w:hint="eastAsia" w:ascii="仿宋" w:hAnsi="仿宋" w:eastAsia="仿宋" w:cs="仿宋"/>
          <w:b w:val="0"/>
          <w:bCs/>
          <w:color w:val="auto"/>
          <w:sz w:val="30"/>
          <w:szCs w:val="30"/>
        </w:rPr>
        <w:t>包人应指定专职安全管理人员与发包人委托的监理公司接口，参与安全协调和管理。安全协</w:t>
      </w:r>
      <w:r>
        <w:rPr>
          <w:rFonts w:hint="eastAsia" w:ascii="仿宋" w:hAnsi="仿宋" w:eastAsia="仿宋" w:cs="仿宋"/>
          <w:b w:val="0"/>
          <w:bCs/>
          <w:color w:val="auto"/>
          <w:spacing w:val="1"/>
          <w:sz w:val="30"/>
          <w:szCs w:val="30"/>
        </w:rPr>
        <w:t>调和管理的内容包括职业健</w:t>
      </w:r>
      <w:r>
        <w:rPr>
          <w:rFonts w:hint="eastAsia" w:ascii="仿宋" w:hAnsi="仿宋" w:eastAsia="仿宋" w:cs="仿宋"/>
          <w:b w:val="0"/>
          <w:bCs/>
          <w:color w:val="auto"/>
          <w:sz w:val="30"/>
          <w:szCs w:val="30"/>
        </w:rPr>
        <w:t>康、工业安全、消防安全、卫生防疫、交通安全、环境保护、治安保卫等各</w:t>
      </w:r>
      <w:r>
        <w:rPr>
          <w:rFonts w:hint="eastAsia" w:ascii="仿宋" w:hAnsi="仿宋" w:eastAsia="仿宋" w:cs="仿宋"/>
          <w:b w:val="0"/>
          <w:bCs/>
          <w:color w:val="auto"/>
          <w:spacing w:val="-10"/>
          <w:sz w:val="30"/>
          <w:szCs w:val="30"/>
        </w:rPr>
        <w:t>方</w:t>
      </w:r>
      <w:r>
        <w:rPr>
          <w:rFonts w:hint="eastAsia" w:ascii="仿宋" w:hAnsi="仿宋" w:eastAsia="仿宋" w:cs="仿宋"/>
          <w:b w:val="0"/>
          <w:bCs/>
          <w:color w:val="auto"/>
          <w:spacing w:val="-8"/>
          <w:sz w:val="30"/>
          <w:szCs w:val="30"/>
        </w:rPr>
        <w:t>面。</w:t>
      </w:r>
    </w:p>
    <w:p w14:paraId="2E1F1DED">
      <w:pPr>
        <w:keepNext w:val="0"/>
        <w:keepLines w:val="0"/>
        <w:pageBreakBefore w:val="0"/>
        <w:widowControl w:val="0"/>
        <w:kinsoku/>
        <w:wordWrap/>
        <w:overflowPunct w:val="0"/>
        <w:topLinePunct w:val="0"/>
        <w:autoSpaceDE/>
        <w:autoSpaceDN/>
        <w:bidi w:val="0"/>
        <w:adjustRightInd w:val="0"/>
        <w:snapToGrid w:val="0"/>
        <w:spacing w:line="530" w:lineRule="exact"/>
        <w:ind w:firstLine="604" w:firstLineChars="200"/>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1"/>
          <w:sz w:val="30"/>
          <w:szCs w:val="30"/>
        </w:rPr>
        <w:t>4．承包</w:t>
      </w:r>
      <w:r>
        <w:rPr>
          <w:rFonts w:hint="eastAsia" w:ascii="仿宋" w:hAnsi="仿宋" w:eastAsia="仿宋" w:cs="仿宋"/>
          <w:b w:val="0"/>
          <w:bCs/>
          <w:color w:val="auto"/>
          <w:sz w:val="30"/>
          <w:szCs w:val="30"/>
        </w:rPr>
        <w:t>人的专职安全管理人员应具备协调安全工作的能力和授权。发包人委托的监理公司有权对</w:t>
      </w:r>
      <w:r>
        <w:rPr>
          <w:rFonts w:hint="eastAsia" w:ascii="仿宋" w:hAnsi="仿宋" w:eastAsia="仿宋" w:cs="仿宋"/>
          <w:b w:val="0"/>
          <w:bCs/>
          <w:color w:val="auto"/>
          <w:spacing w:val="1"/>
          <w:sz w:val="30"/>
          <w:szCs w:val="30"/>
        </w:rPr>
        <w:t>专职安全管理人员的能力和</w:t>
      </w:r>
      <w:r>
        <w:rPr>
          <w:rFonts w:hint="eastAsia" w:ascii="仿宋" w:hAnsi="仿宋" w:eastAsia="仿宋" w:cs="仿宋"/>
          <w:b w:val="0"/>
          <w:bCs/>
          <w:color w:val="auto"/>
          <w:sz w:val="30"/>
          <w:szCs w:val="30"/>
        </w:rPr>
        <w:t>权力做出评价，对于不能胜任的专职安全管理人员，发包人委托的监理公司</w:t>
      </w:r>
      <w:r>
        <w:rPr>
          <w:rFonts w:hint="eastAsia" w:ascii="仿宋" w:hAnsi="仿宋" w:eastAsia="仿宋" w:cs="仿宋"/>
          <w:b w:val="0"/>
          <w:bCs/>
          <w:color w:val="auto"/>
          <w:spacing w:val="-5"/>
          <w:sz w:val="30"/>
          <w:szCs w:val="30"/>
        </w:rPr>
        <w:t>有</w:t>
      </w:r>
      <w:r>
        <w:rPr>
          <w:rFonts w:hint="eastAsia" w:ascii="仿宋" w:hAnsi="仿宋" w:eastAsia="仿宋" w:cs="仿宋"/>
          <w:b w:val="0"/>
          <w:bCs/>
          <w:color w:val="auto"/>
          <w:spacing w:val="-3"/>
          <w:sz w:val="30"/>
          <w:szCs w:val="30"/>
        </w:rPr>
        <w:t>权要求承包人换人。</w:t>
      </w:r>
    </w:p>
    <w:p w14:paraId="71224FA6">
      <w:pPr>
        <w:keepNext w:val="0"/>
        <w:keepLines w:val="0"/>
        <w:pageBreakBefore w:val="0"/>
        <w:widowControl w:val="0"/>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z w:val="30"/>
          <w:szCs w:val="30"/>
        </w:rPr>
        <w:t>5．承包人指定的专职安全管理人员应与发包人委托的监理公司建立联系，在业务上接受发包人委</w:t>
      </w:r>
      <w:r>
        <w:rPr>
          <w:rFonts w:hint="eastAsia" w:ascii="仿宋" w:hAnsi="仿宋" w:eastAsia="仿宋" w:cs="仿宋"/>
          <w:b w:val="0"/>
          <w:bCs/>
          <w:color w:val="auto"/>
          <w:spacing w:val="-4"/>
          <w:sz w:val="30"/>
          <w:szCs w:val="30"/>
        </w:rPr>
        <w:t>托的</w:t>
      </w:r>
      <w:r>
        <w:rPr>
          <w:rFonts w:hint="eastAsia" w:ascii="仿宋" w:hAnsi="仿宋" w:eastAsia="仿宋" w:cs="仿宋"/>
          <w:b w:val="0"/>
          <w:bCs/>
          <w:color w:val="auto"/>
          <w:spacing w:val="-3"/>
          <w:sz w:val="30"/>
          <w:szCs w:val="30"/>
        </w:rPr>
        <w:t>监</w:t>
      </w:r>
      <w:r>
        <w:rPr>
          <w:rFonts w:hint="eastAsia" w:ascii="仿宋" w:hAnsi="仿宋" w:eastAsia="仿宋" w:cs="仿宋"/>
          <w:b w:val="0"/>
          <w:bCs/>
          <w:color w:val="auto"/>
          <w:spacing w:val="-2"/>
          <w:sz w:val="30"/>
          <w:szCs w:val="30"/>
        </w:rPr>
        <w:t>理公司的协调和指导。</w:t>
      </w:r>
    </w:p>
    <w:p w14:paraId="2DD142AA">
      <w:pPr>
        <w:keepNext w:val="0"/>
        <w:keepLines w:val="0"/>
        <w:pageBreakBefore w:val="0"/>
        <w:widowControl w:val="0"/>
        <w:kinsoku/>
        <w:wordWrap/>
        <w:overflowPunct w:val="0"/>
        <w:topLinePunct w:val="0"/>
        <w:autoSpaceDE/>
        <w:autoSpaceDN/>
        <w:bidi w:val="0"/>
        <w:adjustRightInd w:val="0"/>
        <w:snapToGrid w:val="0"/>
        <w:spacing w:line="530" w:lineRule="exact"/>
        <w:ind w:firstLine="604"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1"/>
          <w:sz w:val="30"/>
          <w:szCs w:val="30"/>
        </w:rPr>
        <w:t>6．开</w:t>
      </w:r>
      <w:r>
        <w:rPr>
          <w:rFonts w:hint="eastAsia" w:ascii="仿宋" w:hAnsi="仿宋" w:eastAsia="仿宋" w:cs="仿宋"/>
          <w:b w:val="0"/>
          <w:bCs/>
          <w:color w:val="auto"/>
          <w:sz w:val="30"/>
          <w:szCs w:val="30"/>
        </w:rPr>
        <w:t>工后承包人的专职安全管理人员应按照发包人委托的监理公司的规定，定期报送安全月度快</w:t>
      </w:r>
      <w:r>
        <w:rPr>
          <w:rFonts w:hint="eastAsia" w:ascii="仿宋" w:hAnsi="仿宋" w:eastAsia="仿宋" w:cs="仿宋"/>
          <w:b w:val="0"/>
          <w:bCs/>
          <w:color w:val="auto"/>
          <w:spacing w:val="-2"/>
          <w:sz w:val="30"/>
          <w:szCs w:val="30"/>
        </w:rPr>
        <w:t>报、季报、年报和各</w:t>
      </w:r>
      <w:r>
        <w:rPr>
          <w:rFonts w:hint="eastAsia" w:ascii="仿宋" w:hAnsi="仿宋" w:eastAsia="仿宋" w:cs="仿宋"/>
          <w:b w:val="0"/>
          <w:bCs/>
          <w:color w:val="auto"/>
          <w:spacing w:val="-1"/>
          <w:sz w:val="30"/>
          <w:szCs w:val="30"/>
        </w:rPr>
        <w:t>种专项事故报告等。</w:t>
      </w:r>
    </w:p>
    <w:p w14:paraId="153F268E">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7．在工程实体未全部正式移交</w:t>
      </w:r>
      <w:r>
        <w:rPr>
          <w:rFonts w:hint="eastAsia" w:ascii="仿宋" w:hAnsi="仿宋" w:eastAsia="仿宋" w:cs="仿宋"/>
          <w:b w:val="0"/>
          <w:bCs/>
          <w:color w:val="auto"/>
          <w:sz w:val="30"/>
          <w:szCs w:val="30"/>
        </w:rPr>
        <w:t>发包人施工管理部门之前，承包人依旧对施工范围内的安全管理负</w:t>
      </w:r>
      <w:r>
        <w:rPr>
          <w:rFonts w:hint="eastAsia" w:ascii="仿宋" w:hAnsi="仿宋" w:eastAsia="仿宋" w:cs="仿宋"/>
          <w:b w:val="0"/>
          <w:bCs/>
          <w:color w:val="auto"/>
          <w:spacing w:val="-12"/>
          <w:sz w:val="30"/>
          <w:szCs w:val="30"/>
        </w:rPr>
        <w:t>责</w:t>
      </w:r>
      <w:r>
        <w:rPr>
          <w:rFonts w:hint="eastAsia" w:ascii="仿宋" w:hAnsi="仿宋" w:eastAsia="仿宋" w:cs="仿宋"/>
          <w:b w:val="0"/>
          <w:bCs/>
          <w:color w:val="auto"/>
          <w:spacing w:val="-11"/>
          <w:sz w:val="30"/>
          <w:szCs w:val="30"/>
        </w:rPr>
        <w:t>。</w:t>
      </w:r>
    </w:p>
    <w:p w14:paraId="5C0E21E1">
      <w:pPr>
        <w:keepNext w:val="0"/>
        <w:keepLines w:val="0"/>
        <w:pageBreakBefore w:val="0"/>
        <w:widowControl w:val="0"/>
        <w:kinsoku/>
        <w:wordWrap/>
        <w:overflowPunct w:val="0"/>
        <w:topLinePunct w:val="0"/>
        <w:autoSpaceDE/>
        <w:autoSpaceDN/>
        <w:bidi w:val="0"/>
        <w:adjustRightInd w:val="0"/>
        <w:snapToGrid w:val="0"/>
        <w:spacing w:line="530" w:lineRule="exact"/>
        <w:ind w:left="425"/>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1"/>
          <w:sz w:val="30"/>
          <w:szCs w:val="30"/>
        </w:rPr>
        <w:t>五、安全资质审查</w:t>
      </w:r>
    </w:p>
    <w:p w14:paraId="4A4817C0">
      <w:pPr>
        <w:keepNext w:val="0"/>
        <w:keepLines w:val="0"/>
        <w:pageBreakBefore w:val="0"/>
        <w:widowControl w:val="0"/>
        <w:kinsoku/>
        <w:wordWrap/>
        <w:overflowPunct w:val="0"/>
        <w:topLinePunct w:val="0"/>
        <w:autoSpaceDE/>
        <w:autoSpaceDN/>
        <w:bidi w:val="0"/>
        <w:adjustRightInd w:val="0"/>
        <w:snapToGrid w:val="0"/>
        <w:spacing w:line="530" w:lineRule="exact"/>
        <w:ind w:firstLine="588"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3"/>
          <w:sz w:val="30"/>
          <w:szCs w:val="30"/>
        </w:rPr>
        <w:t>承包人在项目开工前 5 个工作天内向发包人委托的监理公司提供以下安全资质供审查和存档</w:t>
      </w:r>
      <w:r>
        <w:rPr>
          <w:rFonts w:hint="eastAsia" w:ascii="仿宋" w:hAnsi="仿宋" w:eastAsia="仿宋" w:cs="仿宋"/>
          <w:b w:val="0"/>
          <w:bCs/>
          <w:color w:val="auto"/>
          <w:spacing w:val="-2"/>
          <w:sz w:val="30"/>
          <w:szCs w:val="30"/>
        </w:rPr>
        <w:t>：</w:t>
      </w:r>
    </w:p>
    <w:p w14:paraId="0D941B8D">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584"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4"/>
          <w:sz w:val="30"/>
          <w:szCs w:val="30"/>
        </w:rPr>
        <w:t>企业安全</w:t>
      </w:r>
      <w:r>
        <w:rPr>
          <w:rFonts w:hint="eastAsia" w:ascii="仿宋" w:hAnsi="仿宋" w:eastAsia="仿宋" w:cs="仿宋"/>
          <w:b w:val="0"/>
          <w:bCs/>
          <w:color w:val="auto"/>
          <w:spacing w:val="-2"/>
          <w:sz w:val="30"/>
          <w:szCs w:val="30"/>
        </w:rPr>
        <w:t>生产许可证书复印件。</w:t>
      </w:r>
    </w:p>
    <w:p w14:paraId="68D68BCF">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企业</w:t>
      </w:r>
      <w:r>
        <w:rPr>
          <w:rFonts w:hint="eastAsia" w:ascii="仿宋" w:hAnsi="仿宋" w:eastAsia="仿宋" w:cs="仿宋"/>
          <w:b w:val="0"/>
          <w:bCs/>
          <w:color w:val="auto"/>
          <w:spacing w:val="-1"/>
          <w:sz w:val="30"/>
          <w:szCs w:val="30"/>
        </w:rPr>
        <w:t>近三年的施工简历及安全施工业绩证明文件。</w:t>
      </w:r>
    </w:p>
    <w:p w14:paraId="7CB47928">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62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5"/>
          <w:sz w:val="30"/>
          <w:szCs w:val="30"/>
        </w:rPr>
        <w:t>企业主要安全管理人员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包括项目经理、专职安全管理人员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经建设主管部门安全生产知识</w:t>
      </w:r>
      <w:r>
        <w:rPr>
          <w:rFonts w:hint="eastAsia" w:ascii="仿宋" w:hAnsi="仿宋" w:eastAsia="仿宋" w:cs="仿宋"/>
          <w:b w:val="0"/>
          <w:bCs/>
          <w:color w:val="auto"/>
          <w:sz w:val="30"/>
          <w:szCs w:val="30"/>
        </w:rPr>
        <w:t>考</w:t>
      </w:r>
      <w:r>
        <w:rPr>
          <w:rFonts w:hint="eastAsia" w:ascii="仿宋" w:hAnsi="仿宋" w:eastAsia="仿宋" w:cs="仿宋"/>
          <w:b w:val="0"/>
          <w:bCs/>
          <w:color w:val="auto"/>
          <w:spacing w:val="-8"/>
          <w:sz w:val="30"/>
          <w:szCs w:val="30"/>
        </w:rPr>
        <w:t>核</w:t>
      </w:r>
      <w:r>
        <w:rPr>
          <w:rFonts w:hint="eastAsia" w:ascii="仿宋" w:hAnsi="仿宋" w:eastAsia="仿宋" w:cs="仿宋"/>
          <w:b w:val="0"/>
          <w:bCs/>
          <w:color w:val="auto"/>
          <w:spacing w:val="-5"/>
          <w:sz w:val="30"/>
          <w:szCs w:val="30"/>
        </w:rPr>
        <w:t>合格证书。</w:t>
      </w:r>
    </w:p>
    <w:p w14:paraId="1032EBAC">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特种作业人员资格证书。</w:t>
      </w:r>
    </w:p>
    <w:p w14:paraId="4221C442">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64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项目</w:t>
      </w:r>
      <w:r>
        <w:rPr>
          <w:rFonts w:hint="eastAsia" w:ascii="仿宋" w:hAnsi="仿宋" w:eastAsia="仿宋" w:cs="仿宋"/>
          <w:b w:val="0"/>
          <w:bCs/>
          <w:color w:val="auto"/>
          <w:spacing w:val="7"/>
          <w:sz w:val="30"/>
          <w:szCs w:val="30"/>
        </w:rPr>
        <w:t>安</w:t>
      </w:r>
      <w:r>
        <w:rPr>
          <w:rFonts w:hint="eastAsia" w:ascii="仿宋" w:hAnsi="仿宋" w:eastAsia="仿宋" w:cs="仿宋"/>
          <w:b w:val="0"/>
          <w:bCs/>
          <w:color w:val="auto"/>
          <w:spacing w:val="5"/>
          <w:sz w:val="30"/>
          <w:szCs w:val="30"/>
        </w:rPr>
        <w:t>全管理机构及其人员配备</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承包人必须配有专职的安全员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w:t>
      </w:r>
    </w:p>
    <w:p w14:paraId="5AC9610F">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62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5"/>
          <w:sz w:val="30"/>
          <w:szCs w:val="30"/>
        </w:rPr>
        <w:t>适用于项目的安全管理体系及保证体系文件</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安全管理大纲及管理程序文件</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w:t>
      </w:r>
    </w:p>
    <w:p w14:paraId="6009D82E">
      <w:pPr>
        <w:keepNext w:val="0"/>
        <w:keepLines w:val="0"/>
        <w:pageBreakBefore w:val="0"/>
        <w:widowControl w:val="0"/>
        <w:kinsoku/>
        <w:wordWrap/>
        <w:overflowPunct w:val="0"/>
        <w:topLinePunct w:val="0"/>
        <w:autoSpaceDE/>
        <w:autoSpaceDN/>
        <w:bidi w:val="0"/>
        <w:adjustRightInd w:val="0"/>
        <w:snapToGrid w:val="0"/>
        <w:spacing w:before="208" w:line="53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六、人员基本</w:t>
      </w:r>
      <w:r>
        <w:rPr>
          <w:rFonts w:hint="eastAsia" w:ascii="仿宋" w:hAnsi="仿宋" w:eastAsia="仿宋" w:cs="仿宋"/>
          <w:b w:val="0"/>
          <w:bCs/>
          <w:color w:val="auto"/>
          <w:sz w:val="30"/>
          <w:szCs w:val="30"/>
        </w:rPr>
        <w:t>素质</w:t>
      </w:r>
    </w:p>
    <w:p w14:paraId="35945117">
      <w:pPr>
        <w:keepNext w:val="0"/>
        <w:keepLines w:val="0"/>
        <w:pageBreakBefore w:val="0"/>
        <w:widowControl w:val="0"/>
        <w:kinsoku/>
        <w:wordWrap/>
        <w:overflowPunct w:val="0"/>
        <w:topLinePunct w:val="0"/>
        <w:autoSpaceDE/>
        <w:autoSpaceDN/>
        <w:bidi w:val="0"/>
        <w:adjustRightInd w:val="0"/>
        <w:snapToGrid w:val="0"/>
        <w:spacing w:before="216" w:line="530" w:lineRule="exact"/>
        <w:ind w:left="422"/>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4"/>
          <w:sz w:val="30"/>
          <w:szCs w:val="30"/>
        </w:rPr>
        <w:t>承包人提供的</w:t>
      </w:r>
      <w:r>
        <w:rPr>
          <w:rFonts w:hint="eastAsia" w:ascii="仿宋" w:hAnsi="仿宋" w:eastAsia="仿宋" w:cs="仿宋"/>
          <w:b w:val="0"/>
          <w:bCs/>
          <w:color w:val="auto"/>
          <w:spacing w:val="-2"/>
          <w:sz w:val="30"/>
          <w:szCs w:val="30"/>
        </w:rPr>
        <w:t>人员必须满足下列要求：</w:t>
      </w:r>
    </w:p>
    <w:p w14:paraId="7BAC8453">
      <w:pPr>
        <w:keepNext w:val="0"/>
        <w:keepLines w:val="0"/>
        <w:pageBreakBefore w:val="0"/>
        <w:widowControl w:val="0"/>
        <w:numPr>
          <w:ilvl w:val="0"/>
          <w:numId w:val="10"/>
        </w:numPr>
        <w:kinsoku/>
        <w:wordWrap/>
        <w:overflowPunct w:val="0"/>
        <w:topLinePunct w:val="0"/>
        <w:autoSpaceDE/>
        <w:autoSpaceDN/>
        <w:bidi w:val="0"/>
        <w:adjustRightInd w:val="0"/>
        <w:snapToGrid w:val="0"/>
        <w:spacing w:before="216" w:line="530" w:lineRule="exact"/>
        <w:ind w:firstLine="596"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
          <w:sz w:val="30"/>
          <w:szCs w:val="30"/>
        </w:rPr>
        <w:t>身体健康，无影响工作的精神疾病、无传染病和其他重大疾病；承包</w:t>
      </w:r>
      <w:r>
        <w:rPr>
          <w:rFonts w:hint="eastAsia" w:ascii="仿宋" w:hAnsi="仿宋" w:eastAsia="仿宋" w:cs="仿宋"/>
          <w:b w:val="0"/>
          <w:bCs/>
          <w:color w:val="auto"/>
          <w:sz w:val="30"/>
          <w:szCs w:val="30"/>
        </w:rPr>
        <w:t>人需对其雇用的施工人员</w:t>
      </w:r>
      <w:r>
        <w:rPr>
          <w:rFonts w:hint="eastAsia" w:ascii="仿宋" w:hAnsi="仿宋" w:eastAsia="仿宋" w:cs="仿宋"/>
          <w:b w:val="0"/>
          <w:bCs/>
          <w:color w:val="auto"/>
          <w:spacing w:val="5"/>
          <w:sz w:val="30"/>
          <w:szCs w:val="30"/>
        </w:rPr>
        <w:t>签发健康声明并保证其健康。其中体检证明材料</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县级以上医院</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和健康声明作为人员办理入场证件</w:t>
      </w:r>
      <w:r>
        <w:rPr>
          <w:rFonts w:hint="eastAsia" w:ascii="仿宋" w:hAnsi="仿宋" w:eastAsia="仿宋" w:cs="仿宋"/>
          <w:b w:val="0"/>
          <w:bCs/>
          <w:color w:val="auto"/>
          <w:spacing w:val="3"/>
          <w:sz w:val="30"/>
          <w:szCs w:val="30"/>
        </w:rPr>
        <w:t>的</w:t>
      </w:r>
      <w:r>
        <w:rPr>
          <w:rFonts w:hint="eastAsia" w:ascii="仿宋" w:hAnsi="仿宋" w:eastAsia="仿宋" w:cs="仿宋"/>
          <w:b w:val="0"/>
          <w:bCs/>
          <w:color w:val="auto"/>
          <w:spacing w:val="-6"/>
          <w:sz w:val="30"/>
          <w:szCs w:val="30"/>
        </w:rPr>
        <w:t>必备材料。</w:t>
      </w:r>
    </w:p>
    <w:p w14:paraId="7CAF4AFE">
      <w:pPr>
        <w:keepNext w:val="0"/>
        <w:keepLines w:val="0"/>
        <w:pageBreakBefore w:val="0"/>
        <w:widowControl w:val="0"/>
        <w:numPr>
          <w:ilvl w:val="0"/>
          <w:numId w:val="10"/>
        </w:numPr>
        <w:kinsoku/>
        <w:wordWrap/>
        <w:overflowPunct w:val="0"/>
        <w:topLinePunct w:val="0"/>
        <w:autoSpaceDE/>
        <w:autoSpaceDN/>
        <w:bidi w:val="0"/>
        <w:adjustRightInd w:val="0"/>
        <w:snapToGrid w:val="0"/>
        <w:spacing w:before="216" w:line="240" w:lineRule="auto"/>
        <w:ind w:firstLine="588"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3"/>
          <w:sz w:val="30"/>
          <w:szCs w:val="30"/>
        </w:rPr>
        <w:t>无刑事案件牵连。</w:t>
      </w:r>
    </w:p>
    <w:p w14:paraId="432DE074">
      <w:pPr>
        <w:keepNext w:val="0"/>
        <w:keepLines w:val="0"/>
        <w:pageBreakBefore w:val="0"/>
        <w:widowControl w:val="0"/>
        <w:numPr>
          <w:ilvl w:val="0"/>
          <w:numId w:val="10"/>
        </w:numPr>
        <w:kinsoku/>
        <w:wordWrap/>
        <w:overflowPunct w:val="0"/>
        <w:topLinePunct w:val="0"/>
        <w:autoSpaceDE/>
        <w:autoSpaceDN/>
        <w:bidi w:val="0"/>
        <w:adjustRightInd w:val="0"/>
        <w:snapToGrid w:val="0"/>
        <w:spacing w:before="216" w:line="240" w:lineRule="auto"/>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无吸毒、酗</w:t>
      </w:r>
      <w:r>
        <w:rPr>
          <w:rFonts w:hint="eastAsia" w:ascii="仿宋" w:hAnsi="仿宋" w:eastAsia="仿宋" w:cs="仿宋"/>
          <w:b w:val="0"/>
          <w:bCs/>
          <w:color w:val="auto"/>
          <w:spacing w:val="-1"/>
          <w:sz w:val="30"/>
          <w:szCs w:val="30"/>
        </w:rPr>
        <w:t>酒、赌博、嫖娼等恶习及违法行为。</w:t>
      </w:r>
    </w:p>
    <w:p w14:paraId="62132839">
      <w:pPr>
        <w:keepNext w:val="0"/>
        <w:keepLines w:val="0"/>
        <w:pageBreakBefore w:val="0"/>
        <w:widowControl w:val="0"/>
        <w:kinsoku/>
        <w:wordWrap/>
        <w:overflowPunct w:val="0"/>
        <w:topLinePunct w:val="0"/>
        <w:autoSpaceDE/>
        <w:autoSpaceDN/>
        <w:bidi w:val="0"/>
        <w:adjustRightInd w:val="0"/>
        <w:snapToGrid w:val="0"/>
        <w:spacing w:before="192"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七、劳动保</w:t>
      </w:r>
      <w:r>
        <w:rPr>
          <w:rFonts w:hint="eastAsia" w:ascii="仿宋" w:hAnsi="仿宋" w:eastAsia="仿宋" w:cs="仿宋"/>
          <w:b w:val="0"/>
          <w:bCs/>
          <w:color w:val="auto"/>
          <w:sz w:val="30"/>
          <w:szCs w:val="30"/>
        </w:rPr>
        <w:t>护</w:t>
      </w:r>
    </w:p>
    <w:p w14:paraId="28A55F3B">
      <w:pPr>
        <w:keepNext w:val="0"/>
        <w:keepLines w:val="0"/>
        <w:pageBreakBefore w:val="0"/>
        <w:widowControl w:val="0"/>
        <w:kinsoku/>
        <w:wordWrap/>
        <w:overflowPunct w:val="0"/>
        <w:topLinePunct w:val="0"/>
        <w:autoSpaceDE/>
        <w:autoSpaceDN/>
        <w:bidi w:val="0"/>
        <w:adjustRightInd w:val="0"/>
        <w:snapToGrid w:val="0"/>
        <w:spacing w:before="192" w:line="530" w:lineRule="exact"/>
        <w:ind w:firstLine="61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1．承</w:t>
      </w:r>
      <w:r>
        <w:rPr>
          <w:rFonts w:hint="eastAsia" w:ascii="仿宋" w:hAnsi="仿宋" w:eastAsia="仿宋" w:cs="仿宋"/>
          <w:b w:val="0"/>
          <w:bCs/>
          <w:color w:val="auto"/>
          <w:spacing w:val="2"/>
          <w:sz w:val="30"/>
          <w:szCs w:val="30"/>
        </w:rPr>
        <w:t>包人负责为本单位任何用工形式的员工提供个人劳动保护用品</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包括工作服、安全帽、安全</w:t>
      </w:r>
      <w:r>
        <w:rPr>
          <w:rFonts w:hint="eastAsia" w:ascii="仿宋" w:hAnsi="仿宋" w:eastAsia="仿宋" w:cs="仿宋"/>
          <w:b w:val="0"/>
          <w:bCs/>
          <w:color w:val="auto"/>
          <w:spacing w:val="18"/>
          <w:sz w:val="30"/>
          <w:szCs w:val="30"/>
        </w:rPr>
        <w:t>鞋</w:t>
      </w:r>
      <w:r>
        <w:rPr>
          <w:rFonts w:hint="eastAsia" w:ascii="仿宋" w:hAnsi="仿宋" w:eastAsia="仿宋" w:cs="仿宋"/>
          <w:b w:val="0"/>
          <w:bCs/>
          <w:color w:val="auto"/>
          <w:spacing w:val="16"/>
          <w:sz w:val="30"/>
          <w:szCs w:val="30"/>
        </w:rPr>
        <w:t>等</w:t>
      </w:r>
      <w:r>
        <w:rPr>
          <w:rFonts w:hint="eastAsia" w:ascii="仿宋" w:hAnsi="仿宋" w:eastAsia="仿宋" w:cs="仿宋"/>
          <w:b w:val="0"/>
          <w:bCs/>
          <w:color w:val="auto"/>
          <w:spacing w:val="16"/>
          <w:sz w:val="30"/>
          <w:szCs w:val="30"/>
          <w:lang w:eastAsia="zh-CN"/>
        </w:rPr>
        <w:t>）</w:t>
      </w:r>
      <w:r>
        <w:rPr>
          <w:rFonts w:hint="eastAsia" w:ascii="仿宋" w:hAnsi="仿宋" w:eastAsia="仿宋" w:cs="仿宋"/>
          <w:b w:val="0"/>
          <w:bCs/>
          <w:color w:val="auto"/>
          <w:spacing w:val="16"/>
          <w:sz w:val="30"/>
          <w:szCs w:val="30"/>
        </w:rPr>
        <w:t>。</w:t>
      </w:r>
    </w:p>
    <w:p w14:paraId="1F608384">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2．承包人负责向特殊工种的员工提供特殊劳动保护</w:t>
      </w:r>
      <w:r>
        <w:rPr>
          <w:rFonts w:hint="eastAsia" w:ascii="仿宋" w:hAnsi="仿宋" w:eastAsia="仿宋" w:cs="仿宋"/>
          <w:b w:val="0"/>
          <w:bCs/>
          <w:color w:val="auto"/>
          <w:sz w:val="30"/>
          <w:szCs w:val="30"/>
        </w:rPr>
        <w:t>，否则不得从事特殊工种作业。</w:t>
      </w:r>
    </w:p>
    <w:p w14:paraId="7CD0D464">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3．发包人委托的监理公司有权检查承包人的个人劳</w:t>
      </w:r>
      <w:r>
        <w:rPr>
          <w:rFonts w:hint="eastAsia" w:ascii="仿宋" w:hAnsi="仿宋" w:eastAsia="仿宋" w:cs="仿宋"/>
          <w:b w:val="0"/>
          <w:bCs/>
          <w:color w:val="auto"/>
          <w:sz w:val="30"/>
          <w:szCs w:val="30"/>
        </w:rPr>
        <w:t>动保护用品是否符合国家的相应标准。</w:t>
      </w:r>
    </w:p>
    <w:p w14:paraId="5F1D6DCA">
      <w:pPr>
        <w:keepNext w:val="0"/>
        <w:keepLines w:val="0"/>
        <w:pageBreakBefore w:val="0"/>
        <w:widowControl w:val="0"/>
        <w:kinsoku/>
        <w:wordWrap/>
        <w:overflowPunct w:val="0"/>
        <w:topLinePunct w:val="0"/>
        <w:autoSpaceDE/>
        <w:autoSpaceDN/>
        <w:bidi w:val="0"/>
        <w:adjustRightInd w:val="0"/>
        <w:snapToGrid w:val="0"/>
        <w:spacing w:before="1" w:line="530" w:lineRule="exact"/>
        <w:ind w:firstLine="584"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4"/>
          <w:sz w:val="30"/>
          <w:szCs w:val="30"/>
        </w:rPr>
        <w:t>4</w:t>
      </w:r>
      <w:r>
        <w:rPr>
          <w:rFonts w:hint="eastAsia" w:ascii="仿宋" w:hAnsi="仿宋" w:eastAsia="仿宋" w:cs="仿宋"/>
          <w:b w:val="0"/>
          <w:bCs/>
          <w:color w:val="auto"/>
          <w:spacing w:val="-2"/>
          <w:sz w:val="30"/>
          <w:szCs w:val="30"/>
        </w:rPr>
        <w:t>．承包人在特殊风险场所作业而需要特殊防护用品或安全仪表时，必须在上述防护用品全部到位</w:t>
      </w:r>
      <w:r>
        <w:rPr>
          <w:rFonts w:hint="eastAsia" w:ascii="仿宋" w:hAnsi="仿宋" w:eastAsia="仿宋" w:cs="仿宋"/>
          <w:b w:val="0"/>
          <w:bCs/>
          <w:color w:val="auto"/>
          <w:spacing w:val="-7"/>
          <w:sz w:val="30"/>
          <w:szCs w:val="30"/>
        </w:rPr>
        <w:t>后</w:t>
      </w:r>
      <w:r>
        <w:rPr>
          <w:rFonts w:hint="eastAsia" w:ascii="仿宋" w:hAnsi="仿宋" w:eastAsia="仿宋" w:cs="仿宋"/>
          <w:b w:val="0"/>
          <w:bCs/>
          <w:color w:val="auto"/>
          <w:spacing w:val="-5"/>
          <w:sz w:val="30"/>
          <w:szCs w:val="30"/>
        </w:rPr>
        <w:t>才能开工。</w:t>
      </w:r>
    </w:p>
    <w:p w14:paraId="50C2E99A">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5．承包人应配备临时安全围栏、警示带、警告标志、防</w:t>
      </w:r>
      <w:r>
        <w:rPr>
          <w:rFonts w:hint="eastAsia" w:ascii="仿宋" w:hAnsi="仿宋" w:eastAsia="仿宋" w:cs="仿宋"/>
          <w:b w:val="0"/>
          <w:bCs/>
          <w:color w:val="auto"/>
          <w:sz w:val="30"/>
          <w:szCs w:val="30"/>
        </w:rPr>
        <w:t>火布等集体防护用品。</w:t>
      </w:r>
    </w:p>
    <w:p w14:paraId="22E08AD2">
      <w:pPr>
        <w:keepNext w:val="0"/>
        <w:keepLines w:val="0"/>
        <w:pageBreakBefore w:val="0"/>
        <w:widowControl w:val="0"/>
        <w:kinsoku/>
        <w:wordWrap/>
        <w:overflowPunct w:val="0"/>
        <w:topLinePunct w:val="0"/>
        <w:autoSpaceDE/>
        <w:autoSpaceDN/>
        <w:bidi w:val="0"/>
        <w:adjustRightInd w:val="0"/>
        <w:snapToGrid w:val="0"/>
        <w:spacing w:before="207" w:line="530" w:lineRule="exact"/>
        <w:ind w:left="425"/>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八、施工机具与</w:t>
      </w:r>
      <w:r>
        <w:rPr>
          <w:rFonts w:hint="eastAsia" w:ascii="仿宋" w:hAnsi="仿宋" w:eastAsia="仿宋" w:cs="仿宋"/>
          <w:b w:val="0"/>
          <w:bCs/>
          <w:color w:val="auto"/>
          <w:sz w:val="30"/>
          <w:szCs w:val="30"/>
        </w:rPr>
        <w:t>材料</w:t>
      </w:r>
    </w:p>
    <w:p w14:paraId="33E7C1E2">
      <w:pPr>
        <w:keepNext w:val="0"/>
        <w:keepLines w:val="0"/>
        <w:pageBreakBefore w:val="0"/>
        <w:widowControl w:val="0"/>
        <w:kinsoku/>
        <w:wordWrap/>
        <w:overflowPunct w:val="0"/>
        <w:topLinePunct w:val="0"/>
        <w:autoSpaceDE/>
        <w:autoSpaceDN/>
        <w:bidi w:val="0"/>
        <w:adjustRightInd w:val="0"/>
        <w:snapToGrid w:val="0"/>
        <w:spacing w:before="217" w:line="530" w:lineRule="exact"/>
        <w:ind w:firstLine="592"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1．承包人对带入现场的施工机械和</w:t>
      </w:r>
      <w:r>
        <w:rPr>
          <w:rFonts w:hint="eastAsia" w:ascii="仿宋" w:hAnsi="仿宋" w:eastAsia="仿宋" w:cs="仿宋"/>
          <w:b w:val="0"/>
          <w:bCs/>
          <w:color w:val="auto"/>
          <w:spacing w:val="-1"/>
          <w:sz w:val="30"/>
          <w:szCs w:val="30"/>
        </w:rPr>
        <w:t>工器具的安全负责。</w:t>
      </w:r>
    </w:p>
    <w:p w14:paraId="3919AFFD">
      <w:pPr>
        <w:keepNext w:val="0"/>
        <w:keepLines w:val="0"/>
        <w:pageBreakBefore w:val="0"/>
        <w:widowControl w:val="0"/>
        <w:kinsoku/>
        <w:wordWrap/>
        <w:overflowPunct w:val="0"/>
        <w:topLinePunct w:val="0"/>
        <w:autoSpaceDE/>
        <w:autoSpaceDN/>
        <w:bidi w:val="0"/>
        <w:adjustRightInd w:val="0"/>
        <w:snapToGrid w:val="0"/>
        <w:spacing w:before="217"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w:t>
      </w:r>
      <w:r>
        <w:rPr>
          <w:rFonts w:hint="eastAsia" w:ascii="仿宋" w:hAnsi="仿宋" w:eastAsia="仿宋" w:cs="仿宋"/>
          <w:b w:val="0"/>
          <w:bCs/>
          <w:color w:val="auto"/>
          <w:sz w:val="30"/>
          <w:szCs w:val="30"/>
        </w:rPr>
        <w:t>．对于承包人带入现场的特殊工器具，如起重设备、索具、机动车辆、压缩气瓶等，承包人必须</w:t>
      </w:r>
      <w:r>
        <w:rPr>
          <w:rFonts w:hint="eastAsia" w:ascii="仿宋" w:hAnsi="仿宋" w:eastAsia="仿宋" w:cs="仿宋"/>
          <w:b w:val="0"/>
          <w:bCs/>
          <w:color w:val="auto"/>
          <w:spacing w:val="-1"/>
          <w:sz w:val="30"/>
          <w:szCs w:val="30"/>
        </w:rPr>
        <w:t>按国家法规和标准进行检测、试验，并持有法定部门出具</w:t>
      </w:r>
      <w:r>
        <w:rPr>
          <w:rFonts w:hint="eastAsia" w:ascii="仿宋" w:hAnsi="仿宋" w:eastAsia="仿宋" w:cs="仿宋"/>
          <w:b w:val="0"/>
          <w:bCs/>
          <w:color w:val="auto"/>
          <w:sz w:val="30"/>
          <w:szCs w:val="30"/>
        </w:rPr>
        <w:t>的检验证书。</w:t>
      </w:r>
    </w:p>
    <w:p w14:paraId="5CC77D1A">
      <w:pPr>
        <w:keepNext w:val="0"/>
        <w:keepLines w:val="0"/>
        <w:pageBreakBefore w:val="0"/>
        <w:widowControl w:val="0"/>
        <w:kinsoku/>
        <w:wordWrap/>
        <w:overflowPunct w:val="0"/>
        <w:topLinePunct w:val="0"/>
        <w:autoSpaceDE/>
        <w:autoSpaceDN/>
        <w:bidi w:val="0"/>
        <w:adjustRightInd w:val="0"/>
        <w:snapToGrid w:val="0"/>
        <w:spacing w:before="217"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3．对</w:t>
      </w:r>
      <w:r>
        <w:rPr>
          <w:rFonts w:hint="eastAsia" w:ascii="仿宋" w:hAnsi="仿宋" w:eastAsia="仿宋" w:cs="仿宋"/>
          <w:b w:val="0"/>
          <w:bCs/>
          <w:color w:val="auto"/>
          <w:sz w:val="30"/>
          <w:szCs w:val="30"/>
        </w:rPr>
        <w:t>于不属于法定检测的工器具，承包人也必须建立相应的管理、检测制度，这些工器具包括登</w:t>
      </w:r>
      <w:r>
        <w:rPr>
          <w:rFonts w:hint="eastAsia" w:ascii="仿宋" w:hAnsi="仿宋" w:eastAsia="仿宋" w:cs="仿宋"/>
          <w:b w:val="0"/>
          <w:bCs/>
          <w:color w:val="auto"/>
          <w:spacing w:val="-2"/>
          <w:sz w:val="30"/>
          <w:szCs w:val="30"/>
        </w:rPr>
        <w:t>高工具、脚</w:t>
      </w:r>
      <w:r>
        <w:rPr>
          <w:rFonts w:hint="eastAsia" w:ascii="仿宋" w:hAnsi="仿宋" w:eastAsia="仿宋" w:cs="仿宋"/>
          <w:b w:val="0"/>
          <w:bCs/>
          <w:color w:val="auto"/>
          <w:spacing w:val="-1"/>
          <w:sz w:val="30"/>
          <w:szCs w:val="30"/>
        </w:rPr>
        <w:t>手架材料、电动工具、安全防护设备及用具等。</w:t>
      </w:r>
    </w:p>
    <w:p w14:paraId="4AC5EDD1">
      <w:pPr>
        <w:keepNext w:val="0"/>
        <w:keepLines w:val="0"/>
        <w:pageBreakBefore w:val="0"/>
        <w:widowControl w:val="0"/>
        <w:kinsoku/>
        <w:wordWrap/>
        <w:overflowPunct w:val="0"/>
        <w:topLinePunct w:val="0"/>
        <w:autoSpaceDE/>
        <w:autoSpaceDN/>
        <w:bidi w:val="0"/>
        <w:adjustRightInd w:val="0"/>
        <w:snapToGrid w:val="0"/>
        <w:spacing w:line="530" w:lineRule="exact"/>
        <w:ind w:left="427"/>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九、开工前安全条</w:t>
      </w:r>
      <w:r>
        <w:rPr>
          <w:rFonts w:hint="eastAsia" w:ascii="仿宋" w:hAnsi="仿宋" w:eastAsia="仿宋" w:cs="仿宋"/>
          <w:b w:val="0"/>
          <w:bCs/>
          <w:color w:val="auto"/>
          <w:sz w:val="30"/>
          <w:szCs w:val="30"/>
        </w:rPr>
        <w:t>件检查</w:t>
      </w:r>
    </w:p>
    <w:p w14:paraId="45CE4B73">
      <w:pPr>
        <w:keepNext w:val="0"/>
        <w:keepLines w:val="0"/>
        <w:pageBreakBefore w:val="0"/>
        <w:widowControl w:val="0"/>
        <w:kinsoku/>
        <w:wordWrap/>
        <w:overflowPunct w:val="0"/>
        <w:topLinePunct w:val="0"/>
        <w:autoSpaceDE/>
        <w:autoSpaceDN/>
        <w:bidi w:val="0"/>
        <w:adjustRightInd w:val="0"/>
        <w:snapToGrid w:val="0"/>
        <w:spacing w:line="530" w:lineRule="exact"/>
        <w:ind w:firstLine="584"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4"/>
          <w:sz w:val="30"/>
          <w:szCs w:val="30"/>
        </w:rPr>
        <w:t>1．发包人</w:t>
      </w:r>
      <w:r>
        <w:rPr>
          <w:rFonts w:hint="eastAsia" w:ascii="仿宋" w:hAnsi="仿宋" w:eastAsia="仿宋" w:cs="仿宋"/>
          <w:b w:val="0"/>
          <w:bCs/>
          <w:color w:val="auto"/>
          <w:spacing w:val="-2"/>
          <w:sz w:val="30"/>
          <w:szCs w:val="30"/>
        </w:rPr>
        <w:t>委托的监理公司将在合同生效后，工程项目正式开工5个工作日前，依据合同安全条款</w:t>
      </w:r>
      <w:r>
        <w:rPr>
          <w:rFonts w:hint="eastAsia" w:ascii="仿宋" w:hAnsi="仿宋" w:eastAsia="仿宋" w:cs="仿宋"/>
          <w:b w:val="0"/>
          <w:bCs/>
          <w:color w:val="auto"/>
          <w:spacing w:val="-1"/>
          <w:sz w:val="30"/>
          <w:szCs w:val="30"/>
        </w:rPr>
        <w:t>的要求逐项对承包人安全准备</w:t>
      </w:r>
      <w:r>
        <w:rPr>
          <w:rFonts w:hint="eastAsia" w:ascii="仿宋" w:hAnsi="仿宋" w:eastAsia="仿宋" w:cs="仿宋"/>
          <w:b w:val="0"/>
          <w:bCs/>
          <w:color w:val="auto"/>
          <w:sz w:val="30"/>
          <w:szCs w:val="30"/>
        </w:rPr>
        <w:t>情况进行检查。不满足开工安全条件时，承包人将不得开工，由此产生的</w:t>
      </w:r>
      <w:r>
        <w:rPr>
          <w:rFonts w:hint="eastAsia" w:ascii="仿宋" w:hAnsi="仿宋" w:eastAsia="仿宋" w:cs="仿宋"/>
          <w:b w:val="0"/>
          <w:bCs/>
          <w:color w:val="auto"/>
          <w:spacing w:val="-2"/>
          <w:sz w:val="30"/>
          <w:szCs w:val="30"/>
        </w:rPr>
        <w:t>工期和成本的影响，由承包人</w:t>
      </w:r>
      <w:r>
        <w:rPr>
          <w:rFonts w:hint="eastAsia" w:ascii="仿宋" w:hAnsi="仿宋" w:eastAsia="仿宋" w:cs="仿宋"/>
          <w:b w:val="0"/>
          <w:bCs/>
          <w:color w:val="auto"/>
          <w:spacing w:val="-1"/>
          <w:sz w:val="30"/>
          <w:szCs w:val="30"/>
        </w:rPr>
        <w:t>自行负责。</w:t>
      </w:r>
    </w:p>
    <w:p w14:paraId="0814F30F">
      <w:pPr>
        <w:keepNext w:val="0"/>
        <w:keepLines w:val="0"/>
        <w:pageBreakBefore w:val="0"/>
        <w:widowControl w:val="0"/>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2．开工前安全条件检查的基本内容包括：安全管理体系建设、安全资金投入、危险源识别和安全</w:t>
      </w:r>
      <w:r>
        <w:rPr>
          <w:rFonts w:hint="eastAsia" w:ascii="仿宋" w:hAnsi="仿宋" w:eastAsia="仿宋" w:cs="仿宋"/>
          <w:b w:val="0"/>
          <w:bCs/>
          <w:color w:val="auto"/>
          <w:spacing w:val="1"/>
          <w:sz w:val="30"/>
          <w:szCs w:val="30"/>
        </w:rPr>
        <w:t>风险分析、施工机械的安全</w:t>
      </w:r>
      <w:r>
        <w:rPr>
          <w:rFonts w:hint="eastAsia" w:ascii="仿宋" w:hAnsi="仿宋" w:eastAsia="仿宋" w:cs="仿宋"/>
          <w:b w:val="0"/>
          <w:bCs/>
          <w:color w:val="auto"/>
          <w:sz w:val="30"/>
          <w:szCs w:val="30"/>
        </w:rPr>
        <w:t>状况、安全工器具和材料、安全培训教材和教员、专职安全人员的到岗情</w:t>
      </w:r>
      <w:r>
        <w:rPr>
          <w:rFonts w:hint="eastAsia" w:ascii="仿宋" w:hAnsi="仿宋" w:eastAsia="仿宋" w:cs="仿宋"/>
          <w:b w:val="0"/>
          <w:bCs/>
          <w:color w:val="auto"/>
          <w:spacing w:val="-1"/>
          <w:sz w:val="30"/>
          <w:szCs w:val="30"/>
        </w:rPr>
        <w:t>况、培训的有效性、人员控制、个人劳动保护用品配备等内</w:t>
      </w:r>
      <w:r>
        <w:rPr>
          <w:rFonts w:hint="eastAsia" w:ascii="仿宋" w:hAnsi="仿宋" w:eastAsia="仿宋" w:cs="仿宋"/>
          <w:b w:val="0"/>
          <w:bCs/>
          <w:color w:val="auto"/>
          <w:sz w:val="30"/>
          <w:szCs w:val="30"/>
        </w:rPr>
        <w:t>容。</w:t>
      </w:r>
    </w:p>
    <w:p w14:paraId="78CCFF70">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w:t>
      </w:r>
      <w:r>
        <w:rPr>
          <w:rFonts w:hint="eastAsia" w:ascii="仿宋" w:hAnsi="仿宋" w:eastAsia="仿宋" w:cs="仿宋"/>
          <w:b w:val="0"/>
          <w:bCs/>
          <w:color w:val="auto"/>
          <w:sz w:val="30"/>
          <w:szCs w:val="30"/>
        </w:rPr>
        <w:t>．发包人委托的监理公司检查发现的缺陷，承包人应在规定期限内完成整改。对于重大缺陷，发</w:t>
      </w:r>
      <w:r>
        <w:rPr>
          <w:rFonts w:hint="eastAsia" w:ascii="仿宋" w:hAnsi="仿宋" w:eastAsia="仿宋" w:cs="仿宋"/>
          <w:b w:val="0"/>
          <w:bCs/>
          <w:color w:val="auto"/>
          <w:spacing w:val="-1"/>
          <w:sz w:val="30"/>
          <w:szCs w:val="30"/>
        </w:rPr>
        <w:t>包人委托的监理公司有权要求承包人推</w:t>
      </w:r>
      <w:r>
        <w:rPr>
          <w:rFonts w:hint="eastAsia" w:ascii="仿宋" w:hAnsi="仿宋" w:eastAsia="仿宋" w:cs="仿宋"/>
          <w:b w:val="0"/>
          <w:bCs/>
          <w:color w:val="auto"/>
          <w:sz w:val="30"/>
          <w:szCs w:val="30"/>
        </w:rPr>
        <w:t>迟开工，由此对工期产生的影响或经济损失，由承包人承担。</w:t>
      </w:r>
    </w:p>
    <w:p w14:paraId="169C031F">
      <w:pPr>
        <w:keepNext w:val="0"/>
        <w:keepLines w:val="0"/>
        <w:pageBreakBefore w:val="0"/>
        <w:widowControl w:val="0"/>
        <w:kinsoku/>
        <w:wordWrap/>
        <w:overflowPunct w:val="0"/>
        <w:topLinePunct w:val="0"/>
        <w:autoSpaceDE/>
        <w:autoSpaceDN/>
        <w:bidi w:val="0"/>
        <w:adjustRightInd w:val="0"/>
        <w:snapToGrid w:val="0"/>
        <w:spacing w:line="53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十、安全监督</w:t>
      </w:r>
    </w:p>
    <w:p w14:paraId="2658D331">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2"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1．承包人应配备有满足项目</w:t>
      </w:r>
      <w:r>
        <w:rPr>
          <w:rFonts w:hint="eastAsia" w:ascii="仿宋" w:hAnsi="仿宋" w:eastAsia="仿宋" w:cs="仿宋"/>
          <w:b w:val="0"/>
          <w:bCs/>
          <w:color w:val="auto"/>
          <w:spacing w:val="-1"/>
          <w:sz w:val="30"/>
          <w:szCs w:val="30"/>
        </w:rPr>
        <w:t>安全管理需要的专职安全管理人员。</w:t>
      </w:r>
    </w:p>
    <w:p w14:paraId="0D4389C8">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2．承包人的专职安全管理人员必须持建设主管部</w:t>
      </w:r>
      <w:r>
        <w:rPr>
          <w:rFonts w:hint="eastAsia" w:ascii="仿宋" w:hAnsi="仿宋" w:eastAsia="仿宋" w:cs="仿宋"/>
          <w:b w:val="0"/>
          <w:bCs/>
          <w:color w:val="auto"/>
          <w:sz w:val="30"/>
          <w:szCs w:val="30"/>
        </w:rPr>
        <w:t>门颁发的安全生产知识考核合格证书。</w:t>
      </w:r>
    </w:p>
    <w:p w14:paraId="5BCFF685">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6"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1"/>
          <w:sz w:val="30"/>
          <w:szCs w:val="30"/>
        </w:rPr>
        <w:t>3．承包人的专职安</w:t>
      </w:r>
      <w:r>
        <w:rPr>
          <w:rFonts w:hint="eastAsia" w:ascii="仿宋" w:hAnsi="仿宋" w:eastAsia="仿宋" w:cs="仿宋"/>
          <w:b w:val="0"/>
          <w:bCs/>
          <w:color w:val="auto"/>
          <w:sz w:val="30"/>
          <w:szCs w:val="30"/>
        </w:rPr>
        <w:t>全管理人员在业务上接受发包人委托的监理公司和发包人安全管理部门的协调</w:t>
      </w:r>
      <w:r>
        <w:rPr>
          <w:rFonts w:hint="eastAsia" w:ascii="仿宋" w:hAnsi="仿宋" w:eastAsia="仿宋" w:cs="仿宋"/>
          <w:b w:val="0"/>
          <w:bCs/>
          <w:color w:val="auto"/>
          <w:spacing w:val="-8"/>
          <w:sz w:val="30"/>
          <w:szCs w:val="30"/>
        </w:rPr>
        <w:t>和</w:t>
      </w:r>
      <w:r>
        <w:rPr>
          <w:rFonts w:hint="eastAsia" w:ascii="仿宋" w:hAnsi="仿宋" w:eastAsia="仿宋" w:cs="仿宋"/>
          <w:b w:val="0"/>
          <w:bCs/>
          <w:color w:val="auto"/>
          <w:spacing w:val="-7"/>
          <w:sz w:val="30"/>
          <w:szCs w:val="30"/>
        </w:rPr>
        <w:t>指导。</w:t>
      </w:r>
    </w:p>
    <w:p w14:paraId="07BE41F7">
      <w:pPr>
        <w:keepNext w:val="0"/>
        <w:keepLines w:val="0"/>
        <w:pageBreakBefore w:val="0"/>
        <w:widowControl w:val="0"/>
        <w:kinsoku/>
        <w:wordWrap/>
        <w:overflowPunct w:val="0"/>
        <w:topLinePunct w:val="0"/>
        <w:autoSpaceDE/>
        <w:autoSpaceDN/>
        <w:bidi w:val="0"/>
        <w:adjustRightInd w:val="0"/>
        <w:snapToGrid w:val="0"/>
        <w:spacing w:before="213" w:line="530" w:lineRule="exact"/>
        <w:ind w:firstLine="604" w:firstLineChars="200"/>
        <w:jc w:val="both"/>
        <w:textAlignment w:val="baseline"/>
        <w:rPr>
          <w:rFonts w:hint="eastAsia" w:ascii="仿宋" w:hAnsi="仿宋" w:eastAsia="仿宋" w:cs="仿宋"/>
          <w:b w:val="0"/>
          <w:bCs/>
          <w:color w:val="auto"/>
          <w:spacing w:val="-9"/>
          <w:sz w:val="30"/>
          <w:szCs w:val="30"/>
        </w:rPr>
      </w:pPr>
      <w:r>
        <w:rPr>
          <w:rFonts w:hint="eastAsia" w:ascii="仿宋" w:hAnsi="仿宋" w:eastAsia="仿宋" w:cs="仿宋"/>
          <w:b w:val="0"/>
          <w:bCs/>
          <w:color w:val="auto"/>
          <w:spacing w:val="1"/>
          <w:sz w:val="30"/>
          <w:szCs w:val="30"/>
        </w:rPr>
        <w:t>4．承</w:t>
      </w:r>
      <w:r>
        <w:rPr>
          <w:rFonts w:hint="eastAsia" w:ascii="仿宋" w:hAnsi="仿宋" w:eastAsia="仿宋" w:cs="仿宋"/>
          <w:b w:val="0"/>
          <w:bCs/>
          <w:color w:val="auto"/>
          <w:sz w:val="30"/>
          <w:szCs w:val="30"/>
        </w:rPr>
        <w:t>包人应建立班前安全交底制度；施工期间坚持开展安全检查和日常安全监督并形成相应的记</w:t>
      </w:r>
      <w:r>
        <w:rPr>
          <w:rFonts w:hint="eastAsia" w:ascii="仿宋" w:hAnsi="仿宋" w:eastAsia="仿宋" w:cs="仿宋"/>
          <w:b w:val="0"/>
          <w:bCs/>
          <w:color w:val="auto"/>
          <w:spacing w:val="-11"/>
          <w:sz w:val="30"/>
          <w:szCs w:val="30"/>
        </w:rPr>
        <w:t>录</w:t>
      </w:r>
      <w:r>
        <w:rPr>
          <w:rFonts w:hint="eastAsia" w:ascii="仿宋" w:hAnsi="仿宋" w:eastAsia="仿宋" w:cs="仿宋"/>
          <w:b w:val="0"/>
          <w:bCs/>
          <w:color w:val="auto"/>
          <w:spacing w:val="-9"/>
          <w:sz w:val="30"/>
          <w:szCs w:val="30"/>
        </w:rPr>
        <w:t>。</w:t>
      </w:r>
    </w:p>
    <w:p w14:paraId="35E325BC">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6"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1"/>
          <w:sz w:val="30"/>
          <w:szCs w:val="30"/>
        </w:rPr>
        <w:t>5．承包人应在每个作业区任命兼职安全员，赋</w:t>
      </w:r>
      <w:r>
        <w:rPr>
          <w:rFonts w:hint="eastAsia" w:ascii="仿宋" w:hAnsi="仿宋" w:eastAsia="仿宋" w:cs="仿宋"/>
          <w:b w:val="0"/>
          <w:bCs/>
          <w:color w:val="auto"/>
          <w:sz w:val="30"/>
          <w:szCs w:val="30"/>
        </w:rPr>
        <w:t>予兼职安全员相应的授权和义务，并对兼职安全员</w:t>
      </w:r>
      <w:r>
        <w:rPr>
          <w:rFonts w:hint="eastAsia" w:ascii="仿宋" w:hAnsi="仿宋" w:eastAsia="仿宋" w:cs="仿宋"/>
          <w:b w:val="0"/>
          <w:bCs/>
          <w:color w:val="auto"/>
          <w:spacing w:val="-6"/>
          <w:sz w:val="30"/>
          <w:szCs w:val="30"/>
        </w:rPr>
        <w:t>进</w:t>
      </w:r>
      <w:r>
        <w:rPr>
          <w:rFonts w:hint="eastAsia" w:ascii="仿宋" w:hAnsi="仿宋" w:eastAsia="仿宋" w:cs="仿宋"/>
          <w:b w:val="0"/>
          <w:bCs/>
          <w:color w:val="auto"/>
          <w:spacing w:val="-4"/>
          <w:sz w:val="30"/>
          <w:szCs w:val="30"/>
        </w:rPr>
        <w:t>行定期考核。</w:t>
      </w:r>
    </w:p>
    <w:p w14:paraId="684AF281">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6．承包人应接受和配合发包人专业部门及委托的监</w:t>
      </w:r>
      <w:r>
        <w:rPr>
          <w:rFonts w:hint="eastAsia" w:ascii="仿宋" w:hAnsi="仿宋" w:eastAsia="仿宋" w:cs="仿宋"/>
          <w:b w:val="0"/>
          <w:bCs/>
          <w:color w:val="auto"/>
          <w:sz w:val="30"/>
          <w:szCs w:val="30"/>
        </w:rPr>
        <w:t>理公司的监督与安全评价。</w:t>
      </w:r>
    </w:p>
    <w:p w14:paraId="739267A1">
      <w:pPr>
        <w:keepNext w:val="0"/>
        <w:keepLines w:val="0"/>
        <w:pageBreakBefore w:val="0"/>
        <w:widowControl w:val="0"/>
        <w:kinsoku/>
        <w:wordWrap/>
        <w:overflowPunct w:val="0"/>
        <w:topLinePunct w:val="0"/>
        <w:autoSpaceDE/>
        <w:autoSpaceDN/>
        <w:bidi w:val="0"/>
        <w:adjustRightInd w:val="0"/>
        <w:snapToGrid w:val="0"/>
        <w:spacing w:before="213"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7．发包</w:t>
      </w:r>
      <w:r>
        <w:rPr>
          <w:rFonts w:hint="eastAsia" w:ascii="仿宋" w:hAnsi="仿宋" w:eastAsia="仿宋" w:cs="仿宋"/>
          <w:b w:val="0"/>
          <w:bCs/>
          <w:color w:val="auto"/>
          <w:sz w:val="30"/>
          <w:szCs w:val="30"/>
        </w:rPr>
        <w:t>人和委托的监理公司有权对承包人履行安全管理协议的情况进行监督，并有权对违章行为</w:t>
      </w:r>
      <w:r>
        <w:rPr>
          <w:rFonts w:hint="eastAsia" w:ascii="仿宋" w:hAnsi="仿宋" w:eastAsia="仿宋" w:cs="仿宋"/>
          <w:b w:val="0"/>
          <w:bCs/>
          <w:color w:val="auto"/>
          <w:spacing w:val="1"/>
          <w:sz w:val="30"/>
          <w:szCs w:val="30"/>
        </w:rPr>
        <w:t>实行停工和处罚，</w:t>
      </w:r>
      <w:r>
        <w:rPr>
          <w:rFonts w:hint="eastAsia" w:ascii="仿宋" w:hAnsi="仿宋" w:eastAsia="仿宋" w:cs="仿宋"/>
          <w:b w:val="0"/>
          <w:bCs/>
          <w:color w:val="auto"/>
          <w:sz w:val="30"/>
          <w:szCs w:val="30"/>
        </w:rPr>
        <w:t>处罚情况将通知承包人。涉及经济处罚时将直接通知合同管理部门从合同结算中扣</w:t>
      </w:r>
      <w:r>
        <w:rPr>
          <w:rFonts w:hint="eastAsia" w:ascii="仿宋" w:hAnsi="仿宋" w:eastAsia="仿宋" w:cs="仿宋"/>
          <w:b w:val="0"/>
          <w:bCs/>
          <w:color w:val="auto"/>
          <w:spacing w:val="-12"/>
          <w:sz w:val="30"/>
          <w:szCs w:val="30"/>
        </w:rPr>
        <w:t>除</w:t>
      </w:r>
      <w:r>
        <w:rPr>
          <w:rFonts w:hint="eastAsia" w:ascii="仿宋" w:hAnsi="仿宋" w:eastAsia="仿宋" w:cs="仿宋"/>
          <w:b w:val="0"/>
          <w:bCs/>
          <w:color w:val="auto"/>
          <w:spacing w:val="-10"/>
          <w:sz w:val="30"/>
          <w:szCs w:val="30"/>
        </w:rPr>
        <w:t>。</w:t>
      </w:r>
    </w:p>
    <w:p w14:paraId="744C2754">
      <w:pPr>
        <w:keepNext w:val="0"/>
        <w:keepLines w:val="0"/>
        <w:pageBreakBefore w:val="0"/>
        <w:widowControl w:val="0"/>
        <w:kinsoku/>
        <w:wordWrap/>
        <w:overflowPunct w:val="0"/>
        <w:topLinePunct w:val="0"/>
        <w:autoSpaceDE/>
        <w:autoSpaceDN/>
        <w:bidi w:val="0"/>
        <w:adjustRightInd w:val="0"/>
        <w:snapToGrid w:val="0"/>
        <w:spacing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十一、安全</w:t>
      </w:r>
      <w:r>
        <w:rPr>
          <w:rFonts w:hint="eastAsia" w:ascii="仿宋" w:hAnsi="仿宋" w:eastAsia="仿宋" w:cs="仿宋"/>
          <w:b w:val="0"/>
          <w:bCs/>
          <w:color w:val="auto"/>
          <w:sz w:val="30"/>
          <w:szCs w:val="30"/>
        </w:rPr>
        <w:t>培训与授权</w:t>
      </w:r>
    </w:p>
    <w:p w14:paraId="7E8D89D4">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1"/>
          <w:sz w:val="30"/>
          <w:szCs w:val="30"/>
        </w:rPr>
        <w:t>1．承包人所有特殊工种人员必须持证上岗，发包人和发包人委托的监理公司</w:t>
      </w:r>
      <w:r>
        <w:rPr>
          <w:rFonts w:hint="eastAsia" w:ascii="仿宋" w:hAnsi="仿宋" w:eastAsia="仿宋" w:cs="仿宋"/>
          <w:b w:val="0"/>
          <w:bCs/>
          <w:color w:val="auto"/>
          <w:sz w:val="30"/>
          <w:szCs w:val="30"/>
        </w:rPr>
        <w:t>有权对其进行抽查。</w:t>
      </w:r>
      <w:r>
        <w:rPr>
          <w:rFonts w:hint="eastAsia" w:ascii="仿宋" w:hAnsi="仿宋" w:eastAsia="仿宋" w:cs="仿宋"/>
          <w:b w:val="0"/>
          <w:bCs/>
          <w:color w:val="auto"/>
          <w:spacing w:val="-1"/>
          <w:sz w:val="30"/>
          <w:szCs w:val="30"/>
        </w:rPr>
        <w:t>承包人要建立特殊工种定期培训和检查</w:t>
      </w:r>
      <w:r>
        <w:rPr>
          <w:rFonts w:hint="eastAsia" w:ascii="仿宋" w:hAnsi="仿宋" w:eastAsia="仿宋" w:cs="仿宋"/>
          <w:b w:val="0"/>
          <w:bCs/>
          <w:color w:val="auto"/>
          <w:sz w:val="30"/>
          <w:szCs w:val="30"/>
        </w:rPr>
        <w:t>计划，这些工种包括但不限于：机动车驾驶员、焊工、起重工、</w:t>
      </w:r>
      <w:r>
        <w:rPr>
          <w:rFonts w:hint="eastAsia" w:ascii="仿宋" w:hAnsi="仿宋" w:eastAsia="仿宋" w:cs="仿宋"/>
          <w:b w:val="0"/>
          <w:bCs/>
          <w:color w:val="auto"/>
          <w:spacing w:val="-7"/>
          <w:sz w:val="30"/>
          <w:szCs w:val="30"/>
        </w:rPr>
        <w:t>电工等。</w:t>
      </w:r>
    </w:p>
    <w:p w14:paraId="7DAA48DF">
      <w:pPr>
        <w:keepNext w:val="0"/>
        <w:keepLines w:val="0"/>
        <w:pageBreakBefore w:val="0"/>
        <w:widowControl w:val="0"/>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pacing w:val="-10"/>
          <w:sz w:val="30"/>
          <w:szCs w:val="30"/>
        </w:rPr>
      </w:pPr>
      <w:r>
        <w:rPr>
          <w:rFonts w:hint="eastAsia" w:ascii="仿宋" w:hAnsi="仿宋" w:eastAsia="仿宋" w:cs="仿宋"/>
          <w:b w:val="0"/>
          <w:bCs/>
          <w:color w:val="auto"/>
          <w:sz w:val="30"/>
          <w:szCs w:val="30"/>
        </w:rPr>
        <w:t>2．承包人应在特殊工种之外的其他工种中，筛选出高风险工种，并对其开展针对性的专题安全培</w:t>
      </w:r>
      <w:r>
        <w:rPr>
          <w:rFonts w:hint="eastAsia" w:ascii="仿宋" w:hAnsi="仿宋" w:eastAsia="仿宋" w:cs="仿宋"/>
          <w:b w:val="0"/>
          <w:bCs/>
          <w:color w:val="auto"/>
          <w:spacing w:val="-11"/>
          <w:sz w:val="30"/>
          <w:szCs w:val="30"/>
        </w:rPr>
        <w:t>训</w:t>
      </w:r>
      <w:r>
        <w:rPr>
          <w:rFonts w:hint="eastAsia" w:ascii="仿宋" w:hAnsi="仿宋" w:eastAsia="仿宋" w:cs="仿宋"/>
          <w:b w:val="0"/>
          <w:bCs/>
          <w:color w:val="auto"/>
          <w:spacing w:val="-10"/>
          <w:sz w:val="30"/>
          <w:szCs w:val="30"/>
        </w:rPr>
        <w:t>。</w:t>
      </w:r>
    </w:p>
    <w:p w14:paraId="78E900DD">
      <w:pPr>
        <w:keepNext w:val="0"/>
        <w:keepLines w:val="0"/>
        <w:pageBreakBefore w:val="0"/>
        <w:widowControl w:val="0"/>
        <w:kinsoku/>
        <w:wordWrap/>
        <w:overflowPunct w:val="0"/>
        <w:topLinePunct w:val="0"/>
        <w:autoSpaceDE/>
        <w:autoSpaceDN/>
        <w:bidi w:val="0"/>
        <w:adjustRightInd w:val="0"/>
        <w:snapToGrid w:val="0"/>
        <w:spacing w:line="530" w:lineRule="exact"/>
        <w:ind w:firstLine="584"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4"/>
          <w:sz w:val="30"/>
          <w:szCs w:val="30"/>
        </w:rPr>
        <w:t>3．承包</w:t>
      </w:r>
      <w:r>
        <w:rPr>
          <w:rFonts w:hint="eastAsia" w:ascii="仿宋" w:hAnsi="仿宋" w:eastAsia="仿宋" w:cs="仿宋"/>
          <w:b w:val="0"/>
          <w:bCs/>
          <w:color w:val="auto"/>
          <w:spacing w:val="-2"/>
          <w:sz w:val="30"/>
          <w:szCs w:val="30"/>
        </w:rPr>
        <w:t>人应组织“入场培训”和考核。发包人委托的监理公司有权监督培训、考核情况或组织抽</w:t>
      </w:r>
      <w:r>
        <w:rPr>
          <w:rFonts w:hint="eastAsia" w:ascii="仿宋" w:hAnsi="仿宋" w:eastAsia="仿宋" w:cs="仿宋"/>
          <w:b w:val="0"/>
          <w:bCs/>
          <w:color w:val="auto"/>
          <w:spacing w:val="-9"/>
          <w:sz w:val="30"/>
          <w:szCs w:val="30"/>
        </w:rPr>
        <w:t>查</w:t>
      </w:r>
      <w:r>
        <w:rPr>
          <w:rFonts w:hint="eastAsia" w:ascii="仿宋" w:hAnsi="仿宋" w:eastAsia="仿宋" w:cs="仿宋"/>
          <w:b w:val="0"/>
          <w:bCs/>
          <w:color w:val="auto"/>
          <w:spacing w:val="-7"/>
          <w:sz w:val="30"/>
          <w:szCs w:val="30"/>
        </w:rPr>
        <w:t>考核。</w:t>
      </w:r>
    </w:p>
    <w:p w14:paraId="6936C167">
      <w:pPr>
        <w:keepNext w:val="0"/>
        <w:keepLines w:val="0"/>
        <w:pageBreakBefore w:val="0"/>
        <w:widowControl w:val="0"/>
        <w:kinsoku/>
        <w:wordWrap/>
        <w:overflowPunct w:val="0"/>
        <w:topLinePunct w:val="0"/>
        <w:autoSpaceDE/>
        <w:autoSpaceDN/>
        <w:bidi w:val="0"/>
        <w:adjustRightInd w:val="0"/>
        <w:snapToGrid w:val="0"/>
        <w:spacing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4．承包</w:t>
      </w:r>
      <w:r>
        <w:rPr>
          <w:rFonts w:hint="eastAsia" w:ascii="仿宋" w:hAnsi="仿宋" w:eastAsia="仿宋" w:cs="仿宋"/>
          <w:b w:val="0"/>
          <w:bCs/>
          <w:color w:val="auto"/>
          <w:sz w:val="30"/>
          <w:szCs w:val="30"/>
        </w:rPr>
        <w:t>人应建立安全培训和考核机制，编制培训教材和培训滚动计划。承包人应组织安全考试/考</w:t>
      </w:r>
      <w:r>
        <w:rPr>
          <w:rFonts w:hint="eastAsia" w:ascii="仿宋" w:hAnsi="仿宋" w:eastAsia="仿宋" w:cs="仿宋"/>
          <w:b w:val="0"/>
          <w:bCs/>
          <w:color w:val="auto"/>
          <w:spacing w:val="-1"/>
          <w:sz w:val="30"/>
          <w:szCs w:val="30"/>
        </w:rPr>
        <w:t>核，建立培训考核记录，发包人委托的监理公司有权查看这</w:t>
      </w:r>
      <w:r>
        <w:rPr>
          <w:rFonts w:hint="eastAsia" w:ascii="仿宋" w:hAnsi="仿宋" w:eastAsia="仿宋" w:cs="仿宋"/>
          <w:b w:val="0"/>
          <w:bCs/>
          <w:color w:val="auto"/>
          <w:sz w:val="30"/>
          <w:szCs w:val="30"/>
        </w:rPr>
        <w:t>些记录。</w:t>
      </w:r>
    </w:p>
    <w:p w14:paraId="7DAD76E8">
      <w:pPr>
        <w:keepNext w:val="0"/>
        <w:keepLines w:val="0"/>
        <w:pageBreakBefore w:val="0"/>
        <w:widowControl w:val="0"/>
        <w:kinsoku/>
        <w:wordWrap/>
        <w:overflowPunct w:val="0"/>
        <w:topLinePunct w:val="0"/>
        <w:autoSpaceDE/>
        <w:autoSpaceDN/>
        <w:bidi w:val="0"/>
        <w:adjustRightInd w:val="0"/>
        <w:snapToGrid w:val="0"/>
        <w:spacing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十二、职</w:t>
      </w:r>
      <w:r>
        <w:rPr>
          <w:rFonts w:hint="eastAsia" w:ascii="仿宋" w:hAnsi="仿宋" w:eastAsia="仿宋" w:cs="仿宋"/>
          <w:b w:val="0"/>
          <w:bCs/>
          <w:color w:val="auto"/>
          <w:sz w:val="30"/>
          <w:szCs w:val="30"/>
        </w:rPr>
        <w:t>业健康与卫生防疫</w:t>
      </w:r>
    </w:p>
    <w:p w14:paraId="36CA3D2B">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1．承包人应有特殊健康检查制度</w:t>
      </w:r>
      <w:r>
        <w:rPr>
          <w:rFonts w:hint="eastAsia" w:ascii="仿宋" w:hAnsi="仿宋" w:eastAsia="仿宋" w:cs="仿宋"/>
          <w:b w:val="0"/>
          <w:bCs/>
          <w:color w:val="auto"/>
          <w:sz w:val="30"/>
          <w:szCs w:val="30"/>
        </w:rPr>
        <w:t>，预防有禁忌症患者从事有关职业，如恐高症患者不得从事高空</w:t>
      </w:r>
      <w:r>
        <w:rPr>
          <w:rFonts w:hint="eastAsia" w:ascii="仿宋" w:hAnsi="仿宋" w:eastAsia="仿宋" w:cs="仿宋"/>
          <w:b w:val="0"/>
          <w:bCs/>
          <w:color w:val="auto"/>
          <w:spacing w:val="-1"/>
          <w:sz w:val="30"/>
          <w:szCs w:val="30"/>
        </w:rPr>
        <w:t>作业，患有心血管疾病的人员不得从事繁重</w:t>
      </w:r>
      <w:r>
        <w:rPr>
          <w:rFonts w:hint="eastAsia" w:ascii="仿宋" w:hAnsi="仿宋" w:eastAsia="仿宋" w:cs="仿宋"/>
          <w:b w:val="0"/>
          <w:bCs/>
          <w:color w:val="auto"/>
          <w:sz w:val="30"/>
          <w:szCs w:val="30"/>
        </w:rPr>
        <w:t>的体力劳动，特殊工种人员的体检应符合国家的规定。</w:t>
      </w:r>
    </w:p>
    <w:p w14:paraId="36F3C524">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2．承包人应保证卫生防疫基本设施</w:t>
      </w:r>
      <w:r>
        <w:rPr>
          <w:rFonts w:hint="eastAsia" w:ascii="仿宋" w:hAnsi="仿宋" w:eastAsia="仿宋" w:cs="仿宋"/>
          <w:b w:val="0"/>
          <w:bCs/>
          <w:color w:val="auto"/>
          <w:sz w:val="30"/>
          <w:szCs w:val="30"/>
        </w:rPr>
        <w:t>的投入，以满足医疗、急救的要求，建立外部医疗支持渠道。</w:t>
      </w:r>
    </w:p>
    <w:p w14:paraId="2C7B628D">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3．应建立卫生防疫措施计划，做好生活区和施工</w:t>
      </w:r>
      <w:r>
        <w:rPr>
          <w:rFonts w:hint="eastAsia" w:ascii="仿宋" w:hAnsi="仿宋" w:eastAsia="仿宋" w:cs="仿宋"/>
          <w:b w:val="0"/>
          <w:bCs/>
          <w:color w:val="auto"/>
          <w:sz w:val="30"/>
          <w:szCs w:val="30"/>
        </w:rPr>
        <w:t>区的卫生防疫工作；制定和执行保证饮水卫生、</w:t>
      </w:r>
      <w:r>
        <w:rPr>
          <w:rFonts w:hint="eastAsia" w:ascii="仿宋" w:hAnsi="仿宋" w:eastAsia="仿宋" w:cs="仿宋"/>
          <w:b w:val="0"/>
          <w:bCs/>
          <w:color w:val="auto"/>
          <w:spacing w:val="1"/>
          <w:sz w:val="30"/>
          <w:szCs w:val="30"/>
        </w:rPr>
        <w:t>饮食卫生、环境卫生和预防集</w:t>
      </w:r>
      <w:r>
        <w:rPr>
          <w:rFonts w:hint="eastAsia" w:ascii="仿宋" w:hAnsi="仿宋" w:eastAsia="仿宋" w:cs="仿宋"/>
          <w:b w:val="0"/>
          <w:bCs/>
          <w:color w:val="auto"/>
          <w:sz w:val="30"/>
          <w:szCs w:val="30"/>
        </w:rPr>
        <w:t>体食物中毒的措施；有灭蚊、灭鼠和消毒的专项工作计划；有针对性地制</w:t>
      </w:r>
      <w:r>
        <w:rPr>
          <w:rFonts w:hint="eastAsia" w:ascii="仿宋" w:hAnsi="仿宋" w:eastAsia="仿宋" w:cs="仿宋"/>
          <w:b w:val="0"/>
          <w:bCs/>
          <w:color w:val="auto"/>
          <w:spacing w:val="-9"/>
          <w:sz w:val="30"/>
          <w:szCs w:val="30"/>
        </w:rPr>
        <w:t>订</w:t>
      </w:r>
      <w:r>
        <w:rPr>
          <w:rFonts w:hint="eastAsia" w:ascii="仿宋" w:hAnsi="仿宋" w:eastAsia="仿宋" w:cs="仿宋"/>
          <w:b w:val="0"/>
          <w:bCs/>
          <w:color w:val="auto"/>
          <w:spacing w:val="-5"/>
          <w:sz w:val="30"/>
          <w:szCs w:val="30"/>
        </w:rPr>
        <w:t>预防SARS、禽流感、疟疾、霍乱、肠道传染病、肝炎、H1N1流感等疾病的措施。</w:t>
      </w:r>
    </w:p>
    <w:p w14:paraId="716EDAF9">
      <w:pPr>
        <w:keepNext w:val="0"/>
        <w:keepLines w:val="0"/>
        <w:pageBreakBefore w:val="0"/>
        <w:widowControl w:val="0"/>
        <w:kinsoku/>
        <w:wordWrap/>
        <w:overflowPunct w:val="0"/>
        <w:topLinePunct w:val="0"/>
        <w:autoSpaceDE/>
        <w:autoSpaceDN/>
        <w:bidi w:val="0"/>
        <w:adjustRightInd w:val="0"/>
        <w:snapToGrid w:val="0"/>
        <w:spacing w:before="1"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十三、文</w:t>
      </w:r>
      <w:r>
        <w:rPr>
          <w:rFonts w:hint="eastAsia" w:ascii="仿宋" w:hAnsi="仿宋" w:eastAsia="仿宋" w:cs="仿宋"/>
          <w:b w:val="0"/>
          <w:bCs/>
          <w:color w:val="auto"/>
          <w:sz w:val="30"/>
          <w:szCs w:val="30"/>
        </w:rPr>
        <w:t>明施工与环保要求</w:t>
      </w:r>
    </w:p>
    <w:p w14:paraId="652DBA5B">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1．承包人需制订施工现场的</w:t>
      </w:r>
      <w:r>
        <w:rPr>
          <w:rFonts w:hint="eastAsia" w:ascii="仿宋" w:hAnsi="仿宋" w:eastAsia="仿宋" w:cs="仿宋"/>
          <w:b w:val="0"/>
          <w:bCs/>
          <w:color w:val="auto"/>
          <w:sz w:val="30"/>
          <w:szCs w:val="30"/>
        </w:rPr>
        <w:t>文明施工措施，保持良好的施工现场秩序。施工现场的物料堆放要摆</w:t>
      </w:r>
      <w:r>
        <w:rPr>
          <w:rFonts w:hint="eastAsia" w:ascii="仿宋" w:hAnsi="仿宋" w:eastAsia="仿宋" w:cs="仿宋"/>
          <w:b w:val="0"/>
          <w:bCs/>
          <w:color w:val="auto"/>
          <w:spacing w:val="-1"/>
          <w:sz w:val="30"/>
          <w:szCs w:val="30"/>
        </w:rPr>
        <w:t>放整齐，安全标志和宣传标志要清楚醒目，废</w:t>
      </w:r>
      <w:r>
        <w:rPr>
          <w:rFonts w:hint="eastAsia" w:ascii="仿宋" w:hAnsi="仿宋" w:eastAsia="仿宋" w:cs="仿宋"/>
          <w:b w:val="0"/>
          <w:bCs/>
          <w:color w:val="auto"/>
          <w:sz w:val="30"/>
          <w:szCs w:val="30"/>
        </w:rPr>
        <w:t>料、废物要分类收集，安全通道要畅通。</w:t>
      </w:r>
    </w:p>
    <w:p w14:paraId="6F9B4340">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2．承包人作业时应避免建筑材料抛洒、飞扬、流淌；应尽可</w:t>
      </w:r>
      <w:r>
        <w:rPr>
          <w:rFonts w:hint="eastAsia" w:ascii="仿宋" w:hAnsi="仿宋" w:eastAsia="仿宋" w:cs="仿宋"/>
          <w:b w:val="0"/>
          <w:bCs/>
          <w:color w:val="auto"/>
          <w:sz w:val="30"/>
          <w:szCs w:val="30"/>
        </w:rPr>
        <w:t>能降低噪音、震动。</w:t>
      </w:r>
    </w:p>
    <w:p w14:paraId="7000EC8A">
      <w:pPr>
        <w:keepNext w:val="0"/>
        <w:keepLines w:val="0"/>
        <w:pageBreakBefore w:val="0"/>
        <w:widowControl w:val="0"/>
        <w:kinsoku/>
        <w:wordWrap/>
        <w:overflowPunct w:val="0"/>
        <w:topLinePunct w:val="0"/>
        <w:autoSpaceDE/>
        <w:autoSpaceDN/>
        <w:bidi w:val="0"/>
        <w:adjustRightInd w:val="0"/>
        <w:snapToGrid w:val="0"/>
        <w:spacing w:before="1" w:line="530" w:lineRule="exact"/>
        <w:ind w:firstLine="620"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5"/>
          <w:sz w:val="30"/>
          <w:szCs w:val="30"/>
        </w:rPr>
        <w:t>3．承包人应根据实际需要，在施工现场布置临时卫生设施</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洗手间、卫生间等</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，施工作业</w:t>
      </w:r>
      <w:r>
        <w:rPr>
          <w:rFonts w:hint="eastAsia" w:ascii="仿宋" w:hAnsi="仿宋" w:eastAsia="仿宋" w:cs="仿宋"/>
          <w:b w:val="0"/>
          <w:bCs/>
          <w:color w:val="auto"/>
          <w:spacing w:val="4"/>
          <w:sz w:val="30"/>
          <w:szCs w:val="30"/>
        </w:rPr>
        <w:t>不</w:t>
      </w:r>
      <w:r>
        <w:rPr>
          <w:rFonts w:hint="eastAsia" w:ascii="仿宋" w:hAnsi="仿宋" w:eastAsia="仿宋" w:cs="仿宋"/>
          <w:b w:val="0"/>
          <w:bCs/>
          <w:color w:val="auto"/>
          <w:sz w:val="30"/>
          <w:szCs w:val="30"/>
        </w:rPr>
        <w:t>破</w:t>
      </w:r>
      <w:r>
        <w:rPr>
          <w:rFonts w:hint="eastAsia" w:ascii="仿宋" w:hAnsi="仿宋" w:eastAsia="仿宋" w:cs="仿宋"/>
          <w:b w:val="0"/>
          <w:bCs/>
          <w:color w:val="auto"/>
          <w:spacing w:val="-4"/>
          <w:sz w:val="30"/>
          <w:szCs w:val="30"/>
        </w:rPr>
        <w:t>坏</w:t>
      </w:r>
      <w:r>
        <w:rPr>
          <w:rFonts w:hint="eastAsia" w:ascii="仿宋" w:hAnsi="仿宋" w:eastAsia="仿宋" w:cs="仿宋"/>
          <w:b w:val="0"/>
          <w:bCs/>
          <w:color w:val="auto"/>
          <w:spacing w:val="-2"/>
          <w:sz w:val="30"/>
          <w:szCs w:val="30"/>
        </w:rPr>
        <w:t>环境卫生，不污染现场环境。</w:t>
      </w:r>
    </w:p>
    <w:p w14:paraId="5026C3E7">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4．承包</w:t>
      </w:r>
      <w:r>
        <w:rPr>
          <w:rFonts w:hint="eastAsia" w:ascii="仿宋" w:hAnsi="仿宋" w:eastAsia="仿宋" w:cs="仿宋"/>
          <w:b w:val="0"/>
          <w:bCs/>
          <w:color w:val="auto"/>
          <w:sz w:val="30"/>
          <w:szCs w:val="30"/>
        </w:rPr>
        <w:t>人在施工中应充分重视对环境的保护，保护绿色植被，保护古树。施工如需伤害古树，必</w:t>
      </w:r>
      <w:r>
        <w:rPr>
          <w:rFonts w:hint="eastAsia" w:ascii="仿宋" w:hAnsi="仿宋" w:eastAsia="仿宋" w:cs="仿宋"/>
          <w:b w:val="0"/>
          <w:bCs/>
          <w:color w:val="auto"/>
          <w:spacing w:val="-1"/>
          <w:sz w:val="30"/>
          <w:szCs w:val="30"/>
        </w:rPr>
        <w:t>须报告发包人委托的监理公司，在未得到指令前，禁止擅自伤</w:t>
      </w:r>
      <w:r>
        <w:rPr>
          <w:rFonts w:hint="eastAsia" w:ascii="仿宋" w:hAnsi="仿宋" w:eastAsia="仿宋" w:cs="仿宋"/>
          <w:b w:val="0"/>
          <w:bCs/>
          <w:color w:val="auto"/>
          <w:sz w:val="30"/>
          <w:szCs w:val="30"/>
        </w:rPr>
        <w:t>害古树。</w:t>
      </w:r>
    </w:p>
    <w:p w14:paraId="06075727">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1"/>
          <w:sz w:val="30"/>
          <w:szCs w:val="30"/>
        </w:rPr>
        <w:t>5．承</w:t>
      </w:r>
      <w:r>
        <w:rPr>
          <w:rFonts w:hint="eastAsia" w:ascii="仿宋" w:hAnsi="仿宋" w:eastAsia="仿宋" w:cs="仿宋"/>
          <w:b w:val="0"/>
          <w:bCs/>
          <w:color w:val="auto"/>
          <w:sz w:val="30"/>
          <w:szCs w:val="30"/>
        </w:rPr>
        <w:t>包人应及时清理现场废物和垃圾。工业废料与生活垃圾必须分开，有害废物与普通废物必须</w:t>
      </w:r>
      <w:r>
        <w:rPr>
          <w:rFonts w:hint="eastAsia" w:ascii="仿宋" w:hAnsi="仿宋" w:eastAsia="仿宋" w:cs="仿宋"/>
          <w:b w:val="0"/>
          <w:bCs/>
          <w:color w:val="auto"/>
          <w:spacing w:val="5"/>
          <w:sz w:val="30"/>
          <w:szCs w:val="30"/>
        </w:rPr>
        <w:t>分开</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如油品废物、电池灯管等，必须单独收集、存放</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；禁止在非指定场所乱倒、乱堆垃圾。禁止</w:t>
      </w:r>
      <w:r>
        <w:rPr>
          <w:rFonts w:hint="eastAsia" w:ascii="仿宋" w:hAnsi="仿宋" w:eastAsia="仿宋" w:cs="仿宋"/>
          <w:b w:val="0"/>
          <w:bCs/>
          <w:color w:val="auto"/>
          <w:spacing w:val="1"/>
          <w:sz w:val="30"/>
          <w:szCs w:val="30"/>
        </w:rPr>
        <w:t>违</w:t>
      </w:r>
      <w:r>
        <w:rPr>
          <w:rFonts w:hint="eastAsia" w:ascii="仿宋" w:hAnsi="仿宋" w:eastAsia="仿宋" w:cs="仿宋"/>
          <w:b w:val="0"/>
          <w:bCs/>
          <w:color w:val="auto"/>
          <w:spacing w:val="-4"/>
          <w:sz w:val="30"/>
          <w:szCs w:val="30"/>
        </w:rPr>
        <w:t>章处</w:t>
      </w:r>
      <w:r>
        <w:rPr>
          <w:rFonts w:hint="eastAsia" w:ascii="仿宋" w:hAnsi="仿宋" w:eastAsia="仿宋" w:cs="仿宋"/>
          <w:b w:val="0"/>
          <w:bCs/>
          <w:color w:val="auto"/>
          <w:spacing w:val="-3"/>
          <w:sz w:val="30"/>
          <w:szCs w:val="30"/>
        </w:rPr>
        <w:t>理</w:t>
      </w:r>
      <w:r>
        <w:rPr>
          <w:rFonts w:hint="eastAsia" w:ascii="仿宋" w:hAnsi="仿宋" w:eastAsia="仿宋" w:cs="仿宋"/>
          <w:b w:val="0"/>
          <w:bCs/>
          <w:color w:val="auto"/>
          <w:spacing w:val="-2"/>
          <w:sz w:val="30"/>
          <w:szCs w:val="30"/>
        </w:rPr>
        <w:t>危险化学品和工业垃圾。</w:t>
      </w:r>
    </w:p>
    <w:p w14:paraId="4629BD61">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6．承包人在施工中应禁止向环境，排放工业污水、生活</w:t>
      </w:r>
      <w:r>
        <w:rPr>
          <w:rFonts w:hint="eastAsia" w:ascii="仿宋" w:hAnsi="仿宋" w:eastAsia="仿宋" w:cs="仿宋"/>
          <w:b w:val="0"/>
          <w:bCs/>
          <w:color w:val="auto"/>
          <w:sz w:val="30"/>
          <w:szCs w:val="30"/>
        </w:rPr>
        <w:t>污水、废油或其他有害物质。</w:t>
      </w:r>
    </w:p>
    <w:p w14:paraId="33490C49">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7．承包人在施工中应防止水土流失，应及时对裸露的地基、边坡、开</w:t>
      </w:r>
      <w:r>
        <w:rPr>
          <w:rFonts w:hint="eastAsia" w:ascii="仿宋" w:hAnsi="仿宋" w:eastAsia="仿宋" w:cs="仿宋"/>
          <w:b w:val="0"/>
          <w:bCs/>
          <w:color w:val="auto"/>
          <w:sz w:val="30"/>
          <w:szCs w:val="30"/>
        </w:rPr>
        <w:t>挖出来的沙/土以及砂、石、</w:t>
      </w:r>
      <w:r>
        <w:rPr>
          <w:rFonts w:hint="eastAsia" w:ascii="仿宋" w:hAnsi="仿宋" w:eastAsia="仿宋" w:cs="仿宋"/>
          <w:b w:val="0"/>
          <w:bCs/>
          <w:color w:val="auto"/>
          <w:spacing w:val="1"/>
          <w:sz w:val="30"/>
          <w:szCs w:val="30"/>
        </w:rPr>
        <w:t>水泥等建筑材料予以保护，防</w:t>
      </w:r>
      <w:r>
        <w:rPr>
          <w:rFonts w:hint="eastAsia" w:ascii="仿宋" w:hAnsi="仿宋" w:eastAsia="仿宋" w:cs="仿宋"/>
          <w:b w:val="0"/>
          <w:bCs/>
          <w:color w:val="auto"/>
          <w:sz w:val="30"/>
          <w:szCs w:val="30"/>
        </w:rPr>
        <w:t>止风刮扬尘，雨水冲刷，流入下水道、排洪沟。如因防护不及时而造成大</w:t>
      </w:r>
      <w:r>
        <w:rPr>
          <w:rFonts w:hint="eastAsia" w:ascii="仿宋" w:hAnsi="仿宋" w:eastAsia="仿宋" w:cs="仿宋"/>
          <w:b w:val="0"/>
          <w:bCs/>
          <w:color w:val="auto"/>
          <w:spacing w:val="-1"/>
          <w:sz w:val="30"/>
          <w:szCs w:val="30"/>
        </w:rPr>
        <w:t>量水土流失、淤塞道路、沟道或污染环境的</w:t>
      </w:r>
      <w:r>
        <w:rPr>
          <w:rFonts w:hint="eastAsia" w:ascii="仿宋" w:hAnsi="仿宋" w:eastAsia="仿宋" w:cs="仿宋"/>
          <w:b w:val="0"/>
          <w:bCs/>
          <w:color w:val="auto"/>
          <w:sz w:val="30"/>
          <w:szCs w:val="30"/>
        </w:rPr>
        <w:t>，承包人应承担清淤、清扫以及相应的赔偿责任。</w:t>
      </w:r>
    </w:p>
    <w:p w14:paraId="319838C5">
      <w:pPr>
        <w:keepNext w:val="0"/>
        <w:keepLines w:val="0"/>
        <w:pageBreakBefore w:val="0"/>
        <w:widowControl w:val="0"/>
        <w:kinsoku/>
        <w:wordWrap/>
        <w:overflowPunct w:val="0"/>
        <w:topLinePunct w:val="0"/>
        <w:autoSpaceDE/>
        <w:autoSpaceDN/>
        <w:bidi w:val="0"/>
        <w:adjustRightInd w:val="0"/>
        <w:snapToGrid w:val="0"/>
        <w:spacing w:line="53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十四、</w:t>
      </w:r>
      <w:r>
        <w:rPr>
          <w:rFonts w:hint="eastAsia" w:ascii="仿宋" w:hAnsi="仿宋" w:eastAsia="仿宋" w:cs="仿宋"/>
          <w:b w:val="0"/>
          <w:bCs/>
          <w:color w:val="auto"/>
          <w:sz w:val="30"/>
          <w:szCs w:val="30"/>
        </w:rPr>
        <w:t>工程风险管理与事故预防</w:t>
      </w:r>
    </w:p>
    <w:p w14:paraId="7F64B00C">
      <w:pPr>
        <w:keepNext w:val="0"/>
        <w:keepLines w:val="0"/>
        <w:pageBreakBefore w:val="0"/>
        <w:widowControl w:val="0"/>
        <w:kinsoku/>
        <w:wordWrap/>
        <w:overflowPunct w:val="0"/>
        <w:topLinePunct w:val="0"/>
        <w:autoSpaceDE/>
        <w:autoSpaceDN/>
        <w:bidi w:val="0"/>
        <w:adjustRightInd w:val="0"/>
        <w:snapToGrid w:val="0"/>
        <w:spacing w:before="230" w:line="530" w:lineRule="exact"/>
        <w:ind w:left="427"/>
        <w:jc w:val="both"/>
        <w:textAlignment w:val="baseline"/>
        <w:rPr>
          <w:rFonts w:hint="eastAsia" w:ascii="仿宋" w:hAnsi="仿宋" w:eastAsia="仿宋" w:cs="仿宋"/>
          <w:b w:val="0"/>
          <w:bCs/>
          <w:color w:val="auto"/>
          <w:spacing w:val="27"/>
          <w:sz w:val="30"/>
          <w:szCs w:val="30"/>
        </w:rPr>
      </w:pPr>
      <w:r>
        <w:rPr>
          <w:rFonts w:hint="eastAsia" w:ascii="仿宋" w:hAnsi="仿宋" w:eastAsia="仿宋" w:cs="仿宋"/>
          <w:b w:val="0"/>
          <w:bCs/>
          <w:color w:val="auto"/>
          <w:spacing w:val="27"/>
          <w:sz w:val="30"/>
          <w:szCs w:val="30"/>
          <w:lang w:eastAsia="zh-CN"/>
        </w:rPr>
        <w:t>（</w:t>
      </w:r>
      <w:r>
        <w:rPr>
          <w:rFonts w:hint="eastAsia" w:ascii="仿宋" w:hAnsi="仿宋" w:eastAsia="仿宋" w:cs="仿宋"/>
          <w:b w:val="0"/>
          <w:bCs/>
          <w:color w:val="auto"/>
          <w:spacing w:val="27"/>
          <w:sz w:val="30"/>
          <w:szCs w:val="30"/>
        </w:rPr>
        <w:t>一</w:t>
      </w:r>
      <w:r>
        <w:rPr>
          <w:rFonts w:hint="eastAsia" w:ascii="仿宋" w:hAnsi="仿宋" w:eastAsia="仿宋" w:cs="仿宋"/>
          <w:b w:val="0"/>
          <w:bCs/>
          <w:color w:val="auto"/>
          <w:spacing w:val="27"/>
          <w:sz w:val="30"/>
          <w:szCs w:val="30"/>
          <w:lang w:eastAsia="zh-CN"/>
        </w:rPr>
        <w:t>）</w:t>
      </w:r>
      <w:r>
        <w:rPr>
          <w:rFonts w:hint="eastAsia" w:ascii="仿宋" w:hAnsi="仿宋" w:eastAsia="仿宋" w:cs="仿宋"/>
          <w:b w:val="0"/>
          <w:bCs/>
          <w:color w:val="auto"/>
          <w:spacing w:val="27"/>
          <w:sz w:val="30"/>
          <w:szCs w:val="30"/>
        </w:rPr>
        <w:t>基本要求</w:t>
      </w:r>
    </w:p>
    <w:p w14:paraId="0C77133A">
      <w:pPr>
        <w:keepNext w:val="0"/>
        <w:keepLines w:val="0"/>
        <w:pageBreakBefore w:val="0"/>
        <w:widowControl w:val="0"/>
        <w:kinsoku/>
        <w:wordWrap/>
        <w:overflowPunct w:val="0"/>
        <w:topLinePunct w:val="0"/>
        <w:autoSpaceDE/>
        <w:autoSpaceDN/>
        <w:bidi w:val="0"/>
        <w:adjustRightInd w:val="0"/>
        <w:snapToGrid w:val="0"/>
        <w:spacing w:before="230" w:line="530" w:lineRule="exact"/>
        <w:ind w:firstLine="596"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1"/>
          <w:sz w:val="30"/>
          <w:szCs w:val="30"/>
        </w:rPr>
        <w:t>1．承包人应对施工过程进行全</w:t>
      </w:r>
      <w:r>
        <w:rPr>
          <w:rFonts w:hint="eastAsia" w:ascii="仿宋" w:hAnsi="仿宋" w:eastAsia="仿宋" w:cs="仿宋"/>
          <w:b w:val="0"/>
          <w:bCs/>
          <w:color w:val="auto"/>
          <w:sz w:val="30"/>
          <w:szCs w:val="30"/>
        </w:rPr>
        <w:t>面、深入的危险源识别和风险分析。在施工安全组织设计中提供危</w:t>
      </w:r>
      <w:r>
        <w:rPr>
          <w:rFonts w:hint="eastAsia" w:ascii="仿宋" w:hAnsi="仿宋" w:eastAsia="仿宋" w:cs="仿宋"/>
          <w:b w:val="0"/>
          <w:bCs/>
          <w:color w:val="auto"/>
          <w:spacing w:val="2"/>
          <w:sz w:val="30"/>
          <w:szCs w:val="30"/>
        </w:rPr>
        <w:t>险源及重要危险源清单、作业风险分析报告，该</w:t>
      </w:r>
      <w:r>
        <w:rPr>
          <w:rFonts w:hint="eastAsia" w:ascii="仿宋" w:hAnsi="仿宋" w:eastAsia="仿宋" w:cs="仿宋"/>
          <w:b w:val="0"/>
          <w:bCs/>
          <w:color w:val="auto"/>
          <w:spacing w:val="1"/>
          <w:sz w:val="30"/>
          <w:szCs w:val="30"/>
        </w:rPr>
        <w:t>报告应包括</w:t>
      </w: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rPr>
        <w:t>但不限于</w:t>
      </w: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rPr>
        <w:t>如下信息：</w:t>
      </w:r>
    </w:p>
    <w:p w14:paraId="68F1EA42">
      <w:pPr>
        <w:keepNext w:val="0"/>
        <w:keepLines w:val="0"/>
        <w:pageBreakBefore w:val="0"/>
        <w:widowControl w:val="0"/>
        <w:kinsoku/>
        <w:wordWrap/>
        <w:overflowPunct w:val="0"/>
        <w:topLinePunct w:val="0"/>
        <w:autoSpaceDE/>
        <w:autoSpaceDN/>
        <w:bidi w:val="0"/>
        <w:adjustRightInd w:val="0"/>
        <w:snapToGrid w:val="0"/>
        <w:spacing w:before="230" w:line="530" w:lineRule="exact"/>
        <w:ind w:firstLine="640"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10"/>
          <w:sz w:val="30"/>
          <w:szCs w:val="30"/>
        </w:rPr>
        <w:t>(1</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高</w:t>
      </w:r>
      <w:r>
        <w:rPr>
          <w:rFonts w:hint="eastAsia" w:ascii="仿宋" w:hAnsi="仿宋" w:eastAsia="仿宋" w:cs="仿宋"/>
          <w:b w:val="0"/>
          <w:bCs/>
          <w:color w:val="auto"/>
          <w:spacing w:val="5"/>
          <w:sz w:val="30"/>
          <w:szCs w:val="30"/>
        </w:rPr>
        <w:t>风险作业和工种清单：作业名称、类别和数量、主要事故风险。</w:t>
      </w:r>
    </w:p>
    <w:p w14:paraId="127957C8">
      <w:pPr>
        <w:keepNext w:val="0"/>
        <w:keepLines w:val="0"/>
        <w:pageBreakBefore w:val="0"/>
        <w:widowControl w:val="0"/>
        <w:kinsoku/>
        <w:wordWrap/>
        <w:overflowPunct w:val="0"/>
        <w:topLinePunct w:val="0"/>
        <w:autoSpaceDE/>
        <w:autoSpaceDN/>
        <w:bidi w:val="0"/>
        <w:adjustRightInd w:val="0"/>
        <w:snapToGrid w:val="0"/>
        <w:spacing w:before="230" w:line="530" w:lineRule="exact"/>
        <w:ind w:firstLine="656"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14"/>
          <w:sz w:val="30"/>
          <w:szCs w:val="30"/>
        </w:rPr>
        <w:t>(</w:t>
      </w:r>
      <w:r>
        <w:rPr>
          <w:rFonts w:hint="eastAsia" w:ascii="仿宋" w:hAnsi="仿宋" w:eastAsia="仿宋" w:cs="仿宋"/>
          <w:b w:val="0"/>
          <w:bCs/>
          <w:color w:val="auto"/>
          <w:spacing w:val="8"/>
          <w:sz w:val="30"/>
          <w:szCs w:val="30"/>
        </w:rPr>
        <w:t>2</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7"/>
          <w:sz w:val="30"/>
          <w:szCs w:val="30"/>
        </w:rPr>
        <w:t>施工能源和机械的种类、数量和主要事故风险。</w:t>
      </w:r>
    </w:p>
    <w:p w14:paraId="057622D9">
      <w:pPr>
        <w:keepNext w:val="0"/>
        <w:keepLines w:val="0"/>
        <w:pageBreakBefore w:val="0"/>
        <w:widowControl w:val="0"/>
        <w:kinsoku/>
        <w:wordWrap/>
        <w:overflowPunct w:val="0"/>
        <w:topLinePunct w:val="0"/>
        <w:autoSpaceDE/>
        <w:autoSpaceDN/>
        <w:bidi w:val="0"/>
        <w:adjustRightInd w:val="0"/>
        <w:snapToGrid w:val="0"/>
        <w:spacing w:before="230" w:line="530" w:lineRule="exact"/>
        <w:ind w:firstLine="664" w:firstLineChars="200"/>
        <w:jc w:val="both"/>
        <w:textAlignment w:val="baseline"/>
        <w:rPr>
          <w:rFonts w:hint="eastAsia" w:ascii="仿宋" w:hAnsi="仿宋" w:eastAsia="仿宋" w:cs="仿宋"/>
          <w:b w:val="0"/>
          <w:bCs/>
          <w:color w:val="auto"/>
          <w:spacing w:val="8"/>
          <w:sz w:val="30"/>
          <w:szCs w:val="30"/>
        </w:rPr>
      </w:pPr>
      <w:r>
        <w:rPr>
          <w:rFonts w:hint="eastAsia" w:ascii="仿宋" w:hAnsi="仿宋" w:eastAsia="仿宋" w:cs="仿宋"/>
          <w:b w:val="0"/>
          <w:bCs/>
          <w:color w:val="auto"/>
          <w:spacing w:val="16"/>
          <w:sz w:val="30"/>
          <w:szCs w:val="30"/>
        </w:rPr>
        <w:t>(</w:t>
      </w:r>
      <w:r>
        <w:rPr>
          <w:rFonts w:hint="eastAsia" w:ascii="仿宋" w:hAnsi="仿宋" w:eastAsia="仿宋" w:cs="仿宋"/>
          <w:b w:val="0"/>
          <w:bCs/>
          <w:color w:val="auto"/>
          <w:spacing w:val="14"/>
          <w:sz w:val="30"/>
          <w:szCs w:val="30"/>
        </w:rPr>
        <w:t>3</w:t>
      </w: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8"/>
          <w:sz w:val="30"/>
          <w:szCs w:val="30"/>
        </w:rPr>
        <w:t>施工作业条件的类型和主要事故风险。</w:t>
      </w:r>
    </w:p>
    <w:p w14:paraId="0A5F5BBF">
      <w:pPr>
        <w:keepNext w:val="0"/>
        <w:keepLines w:val="0"/>
        <w:pageBreakBefore w:val="0"/>
        <w:widowControl w:val="0"/>
        <w:kinsoku/>
        <w:wordWrap/>
        <w:overflowPunct w:val="0"/>
        <w:topLinePunct w:val="0"/>
        <w:autoSpaceDE/>
        <w:autoSpaceDN/>
        <w:bidi w:val="0"/>
        <w:adjustRightInd w:val="0"/>
        <w:snapToGrid w:val="0"/>
        <w:spacing w:before="230" w:line="530" w:lineRule="exact"/>
        <w:ind w:firstLine="700" w:firstLineChars="200"/>
        <w:jc w:val="both"/>
        <w:textAlignment w:val="baseline"/>
        <w:rPr>
          <w:rFonts w:hint="eastAsia" w:ascii="仿宋" w:hAnsi="仿宋" w:eastAsia="仿宋" w:cs="仿宋"/>
          <w:b w:val="0"/>
          <w:bCs/>
          <w:color w:val="auto"/>
          <w:spacing w:val="13"/>
          <w:sz w:val="30"/>
          <w:szCs w:val="30"/>
        </w:rPr>
      </w:pPr>
      <w:r>
        <w:rPr>
          <w:rFonts w:hint="eastAsia" w:ascii="仿宋" w:hAnsi="仿宋" w:eastAsia="仿宋" w:cs="仿宋"/>
          <w:b w:val="0"/>
          <w:bCs/>
          <w:color w:val="auto"/>
          <w:spacing w:val="25"/>
          <w:sz w:val="30"/>
          <w:szCs w:val="30"/>
        </w:rPr>
        <w:t>(</w:t>
      </w:r>
      <w:r>
        <w:rPr>
          <w:rFonts w:hint="eastAsia" w:ascii="仿宋" w:hAnsi="仿宋" w:eastAsia="仿宋" w:cs="仿宋"/>
          <w:b w:val="0"/>
          <w:bCs/>
          <w:color w:val="auto"/>
          <w:spacing w:val="13"/>
          <w:sz w:val="30"/>
          <w:szCs w:val="30"/>
        </w:rPr>
        <w:t>4</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主要工艺过程</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或施工活动</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的类别及其相关的事故风险。</w:t>
      </w:r>
    </w:p>
    <w:p w14:paraId="7219D043">
      <w:pPr>
        <w:keepNext w:val="0"/>
        <w:keepLines w:val="0"/>
        <w:pageBreakBefore w:val="0"/>
        <w:widowControl w:val="0"/>
        <w:kinsoku/>
        <w:wordWrap/>
        <w:overflowPunct w:val="0"/>
        <w:topLinePunct w:val="0"/>
        <w:autoSpaceDE/>
        <w:autoSpaceDN/>
        <w:bidi w:val="0"/>
        <w:adjustRightInd w:val="0"/>
        <w:snapToGrid w:val="0"/>
        <w:spacing w:before="230" w:line="530" w:lineRule="exact"/>
        <w:ind w:firstLine="696" w:firstLineChars="200"/>
        <w:jc w:val="both"/>
        <w:textAlignment w:val="baseline"/>
        <w:rPr>
          <w:rFonts w:hint="eastAsia" w:ascii="仿宋" w:hAnsi="仿宋" w:eastAsia="仿宋" w:cs="仿宋"/>
          <w:b w:val="0"/>
          <w:bCs/>
          <w:color w:val="auto"/>
          <w:spacing w:val="20"/>
          <w:sz w:val="30"/>
          <w:szCs w:val="30"/>
        </w:rPr>
      </w:pPr>
      <w:r>
        <w:rPr>
          <w:rFonts w:hint="eastAsia" w:ascii="仿宋" w:hAnsi="仿宋" w:eastAsia="仿宋" w:cs="仿宋"/>
          <w:b w:val="0"/>
          <w:bCs/>
          <w:color w:val="auto"/>
          <w:spacing w:val="24"/>
          <w:sz w:val="30"/>
          <w:szCs w:val="30"/>
        </w:rPr>
        <w:t>(</w:t>
      </w:r>
      <w:r>
        <w:rPr>
          <w:rFonts w:hint="eastAsia" w:ascii="仿宋" w:hAnsi="仿宋" w:eastAsia="仿宋" w:cs="仿宋"/>
          <w:b w:val="0"/>
          <w:bCs/>
          <w:color w:val="auto"/>
          <w:spacing w:val="20"/>
          <w:sz w:val="30"/>
          <w:szCs w:val="30"/>
        </w:rPr>
        <w:t>5</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主要火灾危险</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可燃物、点火源</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w:t>
      </w:r>
    </w:p>
    <w:p w14:paraId="285D6E8C">
      <w:pPr>
        <w:keepNext w:val="0"/>
        <w:keepLines w:val="0"/>
        <w:pageBreakBefore w:val="0"/>
        <w:widowControl w:val="0"/>
        <w:kinsoku/>
        <w:wordWrap/>
        <w:overflowPunct w:val="0"/>
        <w:topLinePunct w:val="0"/>
        <w:autoSpaceDE/>
        <w:autoSpaceDN/>
        <w:bidi w:val="0"/>
        <w:adjustRightInd w:val="0"/>
        <w:snapToGrid w:val="0"/>
        <w:spacing w:before="230" w:line="530" w:lineRule="exact"/>
        <w:ind w:firstLine="700" w:firstLineChars="200"/>
        <w:jc w:val="both"/>
        <w:textAlignment w:val="baseline"/>
        <w:rPr>
          <w:rFonts w:hint="eastAsia" w:ascii="仿宋" w:hAnsi="仿宋" w:eastAsia="仿宋" w:cs="仿宋"/>
          <w:b w:val="0"/>
          <w:bCs/>
          <w:color w:val="auto"/>
          <w:spacing w:val="13"/>
          <w:sz w:val="30"/>
          <w:szCs w:val="30"/>
        </w:rPr>
      </w:pPr>
      <w:r>
        <w:rPr>
          <w:rFonts w:hint="eastAsia" w:ascii="仿宋" w:hAnsi="仿宋" w:eastAsia="仿宋" w:cs="仿宋"/>
          <w:b w:val="0"/>
          <w:bCs/>
          <w:color w:val="auto"/>
          <w:spacing w:val="25"/>
          <w:sz w:val="30"/>
          <w:szCs w:val="30"/>
        </w:rPr>
        <w:t>(</w:t>
      </w:r>
      <w:r>
        <w:rPr>
          <w:rFonts w:hint="eastAsia" w:ascii="仿宋" w:hAnsi="仿宋" w:eastAsia="仿宋" w:cs="仿宋"/>
          <w:b w:val="0"/>
          <w:bCs/>
          <w:color w:val="auto"/>
          <w:spacing w:val="13"/>
          <w:sz w:val="30"/>
          <w:szCs w:val="30"/>
        </w:rPr>
        <w:t>6</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主要自然灾害</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洪水、大风、雷暴、暴雨、地质灾害等</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w:t>
      </w:r>
    </w:p>
    <w:p w14:paraId="19FB7991">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80" w:firstLineChars="200"/>
        <w:jc w:val="both"/>
        <w:textAlignment w:val="baseline"/>
        <w:rPr>
          <w:rFonts w:hint="eastAsia" w:ascii="仿宋" w:hAnsi="仿宋" w:eastAsia="仿宋" w:cs="仿宋"/>
          <w:b w:val="0"/>
          <w:bCs/>
          <w:color w:val="auto"/>
          <w:spacing w:val="10"/>
          <w:sz w:val="30"/>
          <w:szCs w:val="30"/>
        </w:rPr>
      </w:pPr>
      <w:r>
        <w:rPr>
          <w:rFonts w:hint="eastAsia" w:ascii="仿宋" w:hAnsi="仿宋" w:eastAsia="仿宋" w:cs="仿宋"/>
          <w:b w:val="0"/>
          <w:bCs/>
          <w:color w:val="auto"/>
          <w:spacing w:val="20"/>
          <w:sz w:val="30"/>
          <w:szCs w:val="30"/>
        </w:rPr>
        <w:t>(</w:t>
      </w:r>
      <w:r>
        <w:rPr>
          <w:rFonts w:hint="eastAsia" w:ascii="仿宋" w:hAnsi="仿宋" w:eastAsia="仿宋" w:cs="仿宋"/>
          <w:b w:val="0"/>
          <w:bCs/>
          <w:color w:val="auto"/>
          <w:spacing w:val="13"/>
          <w:sz w:val="30"/>
          <w:szCs w:val="30"/>
        </w:rPr>
        <w:t>7</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0"/>
          <w:sz w:val="30"/>
          <w:szCs w:val="30"/>
        </w:rPr>
        <w:t>主要环境保护事件</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有害垃圾、机械的跑冒滴漏、原材料流失、水土流失等</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w:t>
      </w:r>
    </w:p>
    <w:p w14:paraId="1A7745D0">
      <w:pPr>
        <w:keepNext w:val="0"/>
        <w:keepLines w:val="0"/>
        <w:pageBreakBefore w:val="0"/>
        <w:widowControl w:val="0"/>
        <w:kinsoku/>
        <w:wordWrap/>
        <w:overflowPunct w:val="0"/>
        <w:topLinePunct w:val="0"/>
        <w:autoSpaceDE/>
        <w:autoSpaceDN/>
        <w:bidi w:val="0"/>
        <w:adjustRightInd w:val="0"/>
        <w:snapToGrid w:val="0"/>
        <w:spacing w:before="216" w:line="530" w:lineRule="exact"/>
        <w:ind w:firstLine="712" w:firstLineChars="200"/>
        <w:jc w:val="both"/>
        <w:textAlignment w:val="baseline"/>
        <w:rPr>
          <w:rFonts w:hint="eastAsia" w:ascii="仿宋" w:hAnsi="仿宋" w:eastAsia="仿宋" w:cs="仿宋"/>
          <w:b w:val="0"/>
          <w:bCs/>
          <w:color w:val="auto"/>
          <w:spacing w:val="27"/>
          <w:sz w:val="30"/>
          <w:szCs w:val="30"/>
        </w:rPr>
      </w:pPr>
      <w:r>
        <w:rPr>
          <w:rFonts w:hint="eastAsia" w:ascii="仿宋" w:hAnsi="仿宋" w:eastAsia="仿宋" w:cs="仿宋"/>
          <w:b w:val="0"/>
          <w:bCs/>
          <w:color w:val="auto"/>
          <w:spacing w:val="28"/>
          <w:sz w:val="30"/>
          <w:szCs w:val="30"/>
        </w:rPr>
        <w:t>(8</w:t>
      </w:r>
      <w:r>
        <w:rPr>
          <w:rFonts w:hint="eastAsia" w:ascii="仿宋" w:hAnsi="仿宋" w:eastAsia="仿宋" w:cs="仿宋"/>
          <w:b w:val="0"/>
          <w:bCs/>
          <w:color w:val="auto"/>
          <w:spacing w:val="28"/>
          <w:sz w:val="30"/>
          <w:szCs w:val="30"/>
          <w:lang w:eastAsia="zh-CN"/>
        </w:rPr>
        <w:t>)</w:t>
      </w:r>
      <w:r>
        <w:rPr>
          <w:rFonts w:hint="eastAsia" w:ascii="仿宋" w:hAnsi="仿宋" w:eastAsia="仿宋" w:cs="仿宋"/>
          <w:b w:val="0"/>
          <w:bCs/>
          <w:color w:val="auto"/>
          <w:spacing w:val="28"/>
          <w:sz w:val="30"/>
          <w:szCs w:val="30"/>
        </w:rPr>
        <w:t>其他</w:t>
      </w:r>
      <w:r>
        <w:rPr>
          <w:rFonts w:hint="eastAsia" w:ascii="仿宋" w:hAnsi="仿宋" w:eastAsia="仿宋" w:cs="仿宋"/>
          <w:b w:val="0"/>
          <w:bCs/>
          <w:color w:val="auto"/>
          <w:spacing w:val="27"/>
          <w:sz w:val="30"/>
          <w:szCs w:val="30"/>
        </w:rPr>
        <w:t>。</w:t>
      </w:r>
    </w:p>
    <w:p w14:paraId="01B14217">
      <w:pPr>
        <w:keepNext w:val="0"/>
        <w:keepLines w:val="0"/>
        <w:pageBreakBefore w:val="0"/>
        <w:widowControl w:val="0"/>
        <w:kinsoku/>
        <w:wordWrap/>
        <w:overflowPunct w:val="0"/>
        <w:topLinePunct w:val="0"/>
        <w:autoSpaceDE/>
        <w:autoSpaceDN/>
        <w:bidi w:val="0"/>
        <w:adjustRightInd w:val="0"/>
        <w:snapToGrid w:val="0"/>
        <w:spacing w:before="216"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2．承包人应针对识别出的危险源制定有针对</w:t>
      </w:r>
      <w:r>
        <w:rPr>
          <w:rFonts w:hint="eastAsia" w:ascii="仿宋" w:hAnsi="仿宋" w:eastAsia="仿宋" w:cs="仿宋"/>
          <w:b w:val="0"/>
          <w:bCs/>
          <w:color w:val="auto"/>
          <w:sz w:val="30"/>
          <w:szCs w:val="30"/>
        </w:rPr>
        <w:t>性的事故预防措施并确保在施工中得到有效落实。</w:t>
      </w:r>
    </w:p>
    <w:p w14:paraId="4178E6D7">
      <w:pPr>
        <w:keepNext w:val="0"/>
        <w:keepLines w:val="0"/>
        <w:pageBreakBefore w:val="0"/>
        <w:widowControl w:val="0"/>
        <w:kinsoku/>
        <w:wordWrap/>
        <w:overflowPunct w:val="0"/>
        <w:topLinePunct w:val="0"/>
        <w:autoSpaceDE/>
        <w:autoSpaceDN/>
        <w:bidi w:val="0"/>
        <w:adjustRightInd w:val="0"/>
        <w:snapToGrid w:val="0"/>
        <w:spacing w:before="215"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w:t>
      </w:r>
      <w:r>
        <w:rPr>
          <w:rFonts w:hint="eastAsia" w:ascii="仿宋" w:hAnsi="仿宋" w:eastAsia="仿宋" w:cs="仿宋"/>
          <w:b w:val="0"/>
          <w:bCs/>
          <w:color w:val="auto"/>
          <w:sz w:val="30"/>
          <w:szCs w:val="30"/>
        </w:rPr>
        <w:t>．承包人应建立日常施工活动的动态作业风险分析和安全交底制度。该制度应明确规定风险分析</w:t>
      </w:r>
      <w:r>
        <w:rPr>
          <w:rFonts w:hint="eastAsia" w:ascii="仿宋" w:hAnsi="仿宋" w:eastAsia="仿宋" w:cs="仿宋"/>
          <w:b w:val="0"/>
          <w:bCs/>
          <w:color w:val="auto"/>
          <w:spacing w:val="-4"/>
          <w:sz w:val="30"/>
          <w:szCs w:val="30"/>
        </w:rPr>
        <w:t>的方法</w:t>
      </w:r>
      <w:r>
        <w:rPr>
          <w:rFonts w:hint="eastAsia" w:ascii="仿宋" w:hAnsi="仿宋" w:eastAsia="仿宋" w:cs="仿宋"/>
          <w:b w:val="0"/>
          <w:bCs/>
          <w:color w:val="auto"/>
          <w:spacing w:val="-3"/>
          <w:sz w:val="30"/>
          <w:szCs w:val="30"/>
        </w:rPr>
        <w:t>、</w:t>
      </w:r>
      <w:r>
        <w:rPr>
          <w:rFonts w:hint="eastAsia" w:ascii="仿宋" w:hAnsi="仿宋" w:eastAsia="仿宋" w:cs="仿宋"/>
          <w:b w:val="0"/>
          <w:bCs/>
          <w:color w:val="auto"/>
          <w:spacing w:val="-2"/>
          <w:sz w:val="30"/>
          <w:szCs w:val="30"/>
        </w:rPr>
        <w:t>责任和交底的内容、时间及记录。</w:t>
      </w:r>
    </w:p>
    <w:p w14:paraId="477824F7">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13"/>
          <w:sz w:val="30"/>
          <w:szCs w:val="30"/>
        </w:rPr>
      </w:pPr>
      <w:r>
        <w:rPr>
          <w:rFonts w:hint="eastAsia" w:ascii="仿宋" w:hAnsi="仿宋" w:eastAsia="仿宋" w:cs="仿宋"/>
          <w:b w:val="0"/>
          <w:bCs/>
          <w:color w:val="auto"/>
          <w:spacing w:val="15"/>
          <w:sz w:val="30"/>
          <w:szCs w:val="30"/>
          <w:lang w:eastAsia="zh-CN"/>
        </w:rPr>
        <w:t>（</w:t>
      </w:r>
      <w:r>
        <w:rPr>
          <w:rFonts w:hint="eastAsia" w:ascii="仿宋" w:hAnsi="仿宋" w:eastAsia="仿宋" w:cs="仿宋"/>
          <w:b w:val="0"/>
          <w:bCs/>
          <w:color w:val="auto"/>
          <w:spacing w:val="15"/>
          <w:sz w:val="30"/>
          <w:szCs w:val="30"/>
        </w:rPr>
        <w:t>二</w:t>
      </w:r>
      <w:r>
        <w:rPr>
          <w:rFonts w:hint="eastAsia" w:ascii="仿宋" w:hAnsi="仿宋" w:eastAsia="仿宋" w:cs="仿宋"/>
          <w:b w:val="0"/>
          <w:bCs/>
          <w:color w:val="auto"/>
          <w:spacing w:val="15"/>
          <w:sz w:val="30"/>
          <w:szCs w:val="30"/>
          <w:lang w:eastAsia="zh-CN"/>
        </w:rPr>
        <w:t>）</w:t>
      </w:r>
      <w:r>
        <w:rPr>
          <w:rFonts w:hint="eastAsia" w:ascii="仿宋" w:hAnsi="仿宋" w:eastAsia="仿宋" w:cs="仿宋"/>
          <w:b w:val="0"/>
          <w:bCs/>
          <w:color w:val="auto"/>
          <w:spacing w:val="15"/>
          <w:sz w:val="30"/>
          <w:szCs w:val="30"/>
        </w:rPr>
        <w:t>现场作业基本安全条</w:t>
      </w:r>
      <w:r>
        <w:rPr>
          <w:rFonts w:hint="eastAsia" w:ascii="仿宋" w:hAnsi="仿宋" w:eastAsia="仿宋" w:cs="仿宋"/>
          <w:b w:val="0"/>
          <w:bCs/>
          <w:color w:val="auto"/>
          <w:spacing w:val="13"/>
          <w:sz w:val="30"/>
          <w:szCs w:val="30"/>
        </w:rPr>
        <w:t>件</w:t>
      </w:r>
    </w:p>
    <w:p w14:paraId="15FA8633">
      <w:pPr>
        <w:keepNext w:val="0"/>
        <w:keepLines w:val="0"/>
        <w:pageBreakBefore w:val="0"/>
        <w:widowControl w:val="0"/>
        <w:kinsoku/>
        <w:wordWrap/>
        <w:overflowPunct w:val="0"/>
        <w:topLinePunct w:val="0"/>
        <w:autoSpaceDE/>
        <w:autoSpaceDN/>
        <w:bidi w:val="0"/>
        <w:adjustRightInd w:val="0"/>
        <w:snapToGrid w:val="0"/>
        <w:spacing w:before="1"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承包人应规定现场作业的基</w:t>
      </w:r>
      <w:r>
        <w:rPr>
          <w:rFonts w:hint="eastAsia" w:ascii="仿宋" w:hAnsi="仿宋" w:eastAsia="仿宋" w:cs="仿宋"/>
          <w:b w:val="0"/>
          <w:bCs/>
          <w:color w:val="auto"/>
          <w:sz w:val="30"/>
          <w:szCs w:val="30"/>
        </w:rPr>
        <w:t>本安全条件，包括照明条件、通风条件、作业平台和通道条件、物料堆</w:t>
      </w:r>
      <w:r>
        <w:rPr>
          <w:rFonts w:hint="eastAsia" w:ascii="仿宋" w:hAnsi="仿宋" w:eastAsia="仿宋" w:cs="仿宋"/>
          <w:b w:val="0"/>
          <w:bCs/>
          <w:color w:val="auto"/>
          <w:spacing w:val="1"/>
          <w:sz w:val="30"/>
          <w:szCs w:val="30"/>
        </w:rPr>
        <w:t>放条件、供电供水条件、吸烟</w:t>
      </w:r>
      <w:r>
        <w:rPr>
          <w:rFonts w:hint="eastAsia" w:ascii="仿宋" w:hAnsi="仿宋" w:eastAsia="仿宋" w:cs="仿宋"/>
          <w:b w:val="0"/>
          <w:bCs/>
          <w:color w:val="auto"/>
          <w:sz w:val="30"/>
          <w:szCs w:val="30"/>
        </w:rPr>
        <w:t>点、休息点等，并对临边现场、道路上作业现场、立体交叉作业现场、地</w:t>
      </w:r>
      <w:r>
        <w:rPr>
          <w:rFonts w:hint="eastAsia" w:ascii="仿宋" w:hAnsi="仿宋" w:eastAsia="仿宋" w:cs="仿宋"/>
          <w:b w:val="0"/>
          <w:bCs/>
          <w:color w:val="auto"/>
          <w:spacing w:val="-1"/>
          <w:sz w:val="30"/>
          <w:szCs w:val="30"/>
        </w:rPr>
        <w:t>面坑洞和沟道、夜间作业现场等的基本安全条件做出规定。</w:t>
      </w:r>
    </w:p>
    <w:p w14:paraId="30689158">
      <w:pPr>
        <w:keepNext w:val="0"/>
        <w:keepLines w:val="0"/>
        <w:pageBreakBefore w:val="0"/>
        <w:widowControl w:val="0"/>
        <w:numPr>
          <w:ilvl w:val="0"/>
          <w:numId w:val="11"/>
        </w:numPr>
        <w:kinsoku/>
        <w:wordWrap/>
        <w:overflowPunct w:val="0"/>
        <w:topLinePunct w:val="0"/>
        <w:autoSpaceDE/>
        <w:autoSpaceDN/>
        <w:bidi w:val="0"/>
        <w:adjustRightInd w:val="0"/>
        <w:snapToGrid w:val="0"/>
        <w:spacing w:line="53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事</w:t>
      </w:r>
      <w:r>
        <w:rPr>
          <w:rFonts w:hint="eastAsia" w:ascii="仿宋" w:hAnsi="仿宋" w:eastAsia="仿宋" w:cs="仿宋"/>
          <w:b w:val="0"/>
          <w:bCs/>
          <w:color w:val="auto"/>
          <w:sz w:val="30"/>
          <w:szCs w:val="30"/>
        </w:rPr>
        <w:t>故报告与应急救援</w:t>
      </w:r>
    </w:p>
    <w:p w14:paraId="0428A936">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1"/>
          <w:sz w:val="30"/>
          <w:szCs w:val="30"/>
        </w:rPr>
        <w:t>承包人应制定对于未遂</w:t>
      </w:r>
      <w:r>
        <w:rPr>
          <w:rFonts w:hint="eastAsia" w:ascii="仿宋" w:hAnsi="仿宋" w:eastAsia="仿宋" w:cs="仿宋"/>
          <w:b w:val="0"/>
          <w:bCs/>
          <w:color w:val="auto"/>
          <w:sz w:val="30"/>
          <w:szCs w:val="30"/>
        </w:rPr>
        <w:t>事故及以上级别的安全事件和事故，定期报送安全月度快报、季报、年</w:t>
      </w:r>
      <w:r>
        <w:rPr>
          <w:rFonts w:hint="eastAsia" w:ascii="仿宋" w:hAnsi="仿宋" w:eastAsia="仿宋" w:cs="仿宋"/>
          <w:b w:val="0"/>
          <w:bCs/>
          <w:color w:val="auto"/>
          <w:spacing w:val="-4"/>
          <w:sz w:val="30"/>
          <w:szCs w:val="30"/>
        </w:rPr>
        <w:t>报</w:t>
      </w:r>
      <w:r>
        <w:rPr>
          <w:rFonts w:hint="eastAsia" w:ascii="仿宋" w:hAnsi="仿宋" w:eastAsia="仿宋" w:cs="仿宋"/>
          <w:b w:val="0"/>
          <w:bCs/>
          <w:color w:val="auto"/>
          <w:spacing w:val="-2"/>
          <w:sz w:val="30"/>
          <w:szCs w:val="30"/>
        </w:rPr>
        <w:t>和各种专项事故报告等。</w:t>
      </w:r>
    </w:p>
    <w:p w14:paraId="1F9D0BCE">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承包人应建立安全事故统计记录、未遂事故统计记录、违章统计记录，并根据统计情况进行分</w:t>
      </w:r>
      <w:r>
        <w:rPr>
          <w:rFonts w:hint="eastAsia" w:ascii="仿宋" w:hAnsi="仿宋" w:eastAsia="仿宋" w:cs="仿宋"/>
          <w:b w:val="0"/>
          <w:bCs/>
          <w:color w:val="auto"/>
          <w:spacing w:val="-2"/>
          <w:sz w:val="30"/>
          <w:szCs w:val="30"/>
        </w:rPr>
        <w:t>析，并就分析结果制定相应的</w:t>
      </w:r>
      <w:r>
        <w:rPr>
          <w:rFonts w:hint="eastAsia" w:ascii="仿宋" w:hAnsi="仿宋" w:eastAsia="仿宋" w:cs="仿宋"/>
          <w:b w:val="0"/>
          <w:bCs/>
          <w:color w:val="auto"/>
          <w:spacing w:val="-1"/>
          <w:sz w:val="30"/>
          <w:szCs w:val="30"/>
        </w:rPr>
        <w:t>预防措施。</w:t>
      </w:r>
    </w:p>
    <w:p w14:paraId="124169C8">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承包人应建立事故应急救援机制，明确事故处置的基本原则，即现场发生事故时，首先抢救生</w:t>
      </w:r>
      <w:r>
        <w:rPr>
          <w:rFonts w:hint="eastAsia" w:ascii="仿宋" w:hAnsi="仿宋" w:eastAsia="仿宋" w:cs="仿宋"/>
          <w:b w:val="0"/>
          <w:bCs/>
          <w:color w:val="auto"/>
          <w:spacing w:val="-2"/>
          <w:sz w:val="30"/>
          <w:szCs w:val="30"/>
        </w:rPr>
        <w:t>命，向救援</w:t>
      </w:r>
      <w:r>
        <w:rPr>
          <w:rFonts w:hint="eastAsia" w:ascii="仿宋" w:hAnsi="仿宋" w:eastAsia="仿宋" w:cs="仿宋"/>
          <w:b w:val="0"/>
          <w:bCs/>
          <w:color w:val="auto"/>
          <w:spacing w:val="-1"/>
          <w:sz w:val="30"/>
          <w:szCs w:val="30"/>
        </w:rPr>
        <w:t>组织报警，并采取措施限制事故扩大。</w:t>
      </w:r>
    </w:p>
    <w:p w14:paraId="4DD9BFD6">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承包人应建立相应的应急响应组织，以便能迅</w:t>
      </w:r>
      <w:r>
        <w:rPr>
          <w:rFonts w:hint="eastAsia" w:ascii="仿宋" w:hAnsi="仿宋" w:eastAsia="仿宋" w:cs="仿宋"/>
          <w:b w:val="0"/>
          <w:bCs/>
          <w:color w:val="auto"/>
          <w:sz w:val="30"/>
          <w:szCs w:val="30"/>
        </w:rPr>
        <w:t>速处理突发意外。</w:t>
      </w:r>
    </w:p>
    <w:p w14:paraId="4BC5405D">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承包人应建立专项应急响应</w:t>
      </w:r>
      <w:r>
        <w:rPr>
          <w:rFonts w:hint="eastAsia" w:ascii="仿宋" w:hAnsi="仿宋" w:eastAsia="仿宋" w:cs="仿宋"/>
          <w:b w:val="0"/>
          <w:bCs/>
          <w:color w:val="auto"/>
          <w:sz w:val="30"/>
          <w:szCs w:val="30"/>
        </w:rPr>
        <w:t>预案，包括重大人身伤亡事故的救护预案、火灾响应预案、“四</w:t>
      </w:r>
      <w:r>
        <w:rPr>
          <w:rFonts w:hint="eastAsia" w:ascii="仿宋" w:hAnsi="仿宋" w:eastAsia="仿宋" w:cs="仿宋"/>
          <w:b w:val="0"/>
          <w:bCs/>
          <w:color w:val="auto"/>
          <w:spacing w:val="5"/>
          <w:sz w:val="30"/>
          <w:szCs w:val="30"/>
        </w:rPr>
        <w:t>防”预案</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防风、防冻、防雷、防暴雨</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、重大疫病防护预案、环境污染防护预案、地质灾害防护预</w:t>
      </w:r>
      <w:r>
        <w:rPr>
          <w:rFonts w:hint="eastAsia" w:ascii="仿宋" w:hAnsi="仿宋" w:eastAsia="仿宋" w:cs="仿宋"/>
          <w:b w:val="0"/>
          <w:bCs/>
          <w:color w:val="auto"/>
          <w:spacing w:val="2"/>
          <w:sz w:val="30"/>
          <w:szCs w:val="30"/>
        </w:rPr>
        <w:t>案</w:t>
      </w:r>
      <w:r>
        <w:rPr>
          <w:rFonts w:hint="eastAsia" w:ascii="仿宋" w:hAnsi="仿宋" w:eastAsia="仿宋" w:cs="仿宋"/>
          <w:b w:val="0"/>
          <w:bCs/>
          <w:color w:val="auto"/>
          <w:spacing w:val="-10"/>
          <w:sz w:val="30"/>
          <w:szCs w:val="30"/>
        </w:rPr>
        <w:t>等。</w:t>
      </w:r>
    </w:p>
    <w:p w14:paraId="0FC94D0B">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承包人应对应急预案进行适当演练，保证应急预案的可</w:t>
      </w:r>
      <w:r>
        <w:rPr>
          <w:rFonts w:hint="eastAsia" w:ascii="仿宋" w:hAnsi="仿宋" w:eastAsia="仿宋" w:cs="仿宋"/>
          <w:b w:val="0"/>
          <w:bCs/>
          <w:color w:val="auto"/>
          <w:sz w:val="30"/>
          <w:szCs w:val="30"/>
        </w:rPr>
        <w:t>操作性。</w:t>
      </w:r>
    </w:p>
    <w:p w14:paraId="5D078515">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在工地的其他施工单位发生重大事故时，承包人应</w:t>
      </w:r>
      <w:r>
        <w:rPr>
          <w:rFonts w:hint="eastAsia" w:ascii="仿宋" w:hAnsi="仿宋" w:eastAsia="仿宋" w:cs="仿宋"/>
          <w:b w:val="0"/>
          <w:bCs/>
          <w:color w:val="auto"/>
          <w:sz w:val="30"/>
          <w:szCs w:val="30"/>
        </w:rPr>
        <w:t>无条件立即配合、支持事故抢险。</w:t>
      </w:r>
    </w:p>
    <w:p w14:paraId="49B0B5CD">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承包人必须为事故处置支付各项费用，包括受伤者的抚恤、补偿等费用，并按合同要求赔偿对</w:t>
      </w:r>
      <w:r>
        <w:rPr>
          <w:rFonts w:hint="eastAsia" w:ascii="仿宋" w:hAnsi="仿宋" w:eastAsia="仿宋" w:cs="仿宋"/>
          <w:b w:val="0"/>
          <w:bCs/>
          <w:color w:val="auto"/>
          <w:spacing w:val="-6"/>
          <w:sz w:val="30"/>
          <w:szCs w:val="30"/>
        </w:rPr>
        <w:t>发包</w:t>
      </w:r>
      <w:r>
        <w:rPr>
          <w:rFonts w:hint="eastAsia" w:ascii="仿宋" w:hAnsi="仿宋" w:eastAsia="仿宋" w:cs="仿宋"/>
          <w:b w:val="0"/>
          <w:bCs/>
          <w:color w:val="auto"/>
          <w:spacing w:val="-4"/>
          <w:sz w:val="30"/>
          <w:szCs w:val="30"/>
        </w:rPr>
        <w:t>人</w:t>
      </w:r>
      <w:r>
        <w:rPr>
          <w:rFonts w:hint="eastAsia" w:ascii="仿宋" w:hAnsi="仿宋" w:eastAsia="仿宋" w:cs="仿宋"/>
          <w:b w:val="0"/>
          <w:bCs/>
          <w:color w:val="auto"/>
          <w:spacing w:val="-3"/>
          <w:sz w:val="30"/>
          <w:szCs w:val="30"/>
        </w:rPr>
        <w:t>造成的损失。</w:t>
      </w:r>
    </w:p>
    <w:p w14:paraId="59A2379E">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由于发包人原因而造成的事故，发包人</w:t>
      </w:r>
      <w:r>
        <w:rPr>
          <w:rFonts w:hint="eastAsia" w:ascii="仿宋" w:hAnsi="仿宋" w:eastAsia="仿宋" w:cs="仿宋"/>
          <w:b w:val="0"/>
          <w:bCs/>
          <w:color w:val="auto"/>
          <w:sz w:val="30"/>
          <w:szCs w:val="30"/>
        </w:rPr>
        <w:t>应负责按事故的具体损失情况给予承包人经济赔偿。</w:t>
      </w:r>
    </w:p>
    <w:p w14:paraId="4ABD5B42">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涉及承包人员工的伤害事故，承包人除要报告发包人委托的监理公司外</w:t>
      </w:r>
      <w:r>
        <w:rPr>
          <w:rFonts w:hint="eastAsia" w:ascii="仿宋" w:hAnsi="仿宋" w:eastAsia="仿宋" w:cs="仿宋"/>
          <w:b w:val="0"/>
          <w:bCs/>
          <w:color w:val="auto"/>
          <w:sz w:val="30"/>
          <w:szCs w:val="30"/>
        </w:rPr>
        <w:t>，还应负责按照国家、</w:t>
      </w:r>
      <w:r>
        <w:rPr>
          <w:rFonts w:hint="eastAsia" w:ascii="仿宋" w:hAnsi="仿宋" w:eastAsia="仿宋" w:cs="仿宋"/>
          <w:b w:val="0"/>
          <w:bCs/>
          <w:color w:val="auto"/>
          <w:spacing w:val="-2"/>
          <w:sz w:val="30"/>
          <w:szCs w:val="30"/>
        </w:rPr>
        <w:t>行业和本单位上级公司的要求</w:t>
      </w:r>
      <w:r>
        <w:rPr>
          <w:rFonts w:hint="eastAsia" w:ascii="仿宋" w:hAnsi="仿宋" w:eastAsia="仿宋" w:cs="仿宋"/>
          <w:b w:val="0"/>
          <w:bCs/>
          <w:color w:val="auto"/>
          <w:spacing w:val="-1"/>
          <w:sz w:val="30"/>
          <w:szCs w:val="30"/>
        </w:rPr>
        <w:t>，上报事故。</w:t>
      </w:r>
    </w:p>
    <w:p w14:paraId="2C13AE07">
      <w:pPr>
        <w:keepNext w:val="0"/>
        <w:keepLines w:val="0"/>
        <w:pageBreakBefore w:val="0"/>
        <w:widowControl w:val="0"/>
        <w:kinsoku/>
        <w:wordWrap/>
        <w:overflowPunct w:val="0"/>
        <w:topLinePunct w:val="0"/>
        <w:autoSpaceDE/>
        <w:autoSpaceDN/>
        <w:bidi w:val="0"/>
        <w:adjustRightInd w:val="0"/>
        <w:snapToGrid w:val="0"/>
        <w:spacing w:before="1" w:line="530" w:lineRule="exact"/>
        <w:ind w:left="422"/>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十六、安全</w:t>
      </w:r>
      <w:r>
        <w:rPr>
          <w:rFonts w:hint="eastAsia" w:ascii="仿宋" w:hAnsi="仿宋" w:eastAsia="仿宋" w:cs="仿宋"/>
          <w:b w:val="0"/>
          <w:bCs/>
          <w:color w:val="auto"/>
          <w:sz w:val="30"/>
          <w:szCs w:val="30"/>
        </w:rPr>
        <w:t>业绩考核</w:t>
      </w:r>
    </w:p>
    <w:p w14:paraId="122D8B1D">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position w:val="19"/>
          <w:sz w:val="30"/>
          <w:szCs w:val="30"/>
        </w:rPr>
        <w:t>为了落实安全</w:t>
      </w:r>
      <w:r>
        <w:rPr>
          <w:rFonts w:hint="eastAsia" w:ascii="仿宋" w:hAnsi="仿宋" w:eastAsia="仿宋" w:cs="仿宋"/>
          <w:b w:val="0"/>
          <w:bCs/>
          <w:color w:val="auto"/>
          <w:position w:val="19"/>
          <w:sz w:val="30"/>
          <w:szCs w:val="30"/>
        </w:rPr>
        <w:t>管理的责任，承包人在施工过程中发生安全事故时，承包人除应按国家有关规定承担责任和处罚外，发包人还将按照以下标准进行考核：</w:t>
      </w:r>
    </w:p>
    <w:tbl>
      <w:tblPr>
        <w:tblStyle w:val="264"/>
        <w:tblW w:w="7013" w:type="dxa"/>
        <w:tblInd w:w="1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3768"/>
      </w:tblGrid>
      <w:tr w14:paraId="1303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3245" w:type="dxa"/>
            <w:tcBorders>
              <w:top w:val="single" w:color="000000" w:sz="2" w:space="0"/>
              <w:bottom w:val="single" w:color="000000" w:sz="2" w:space="0"/>
            </w:tcBorders>
            <w:noWrap w:val="0"/>
            <w:vAlign w:val="top"/>
          </w:tcPr>
          <w:p w14:paraId="714781DE">
            <w:pPr>
              <w:keepNext w:val="0"/>
              <w:keepLines w:val="0"/>
              <w:pageBreakBefore w:val="0"/>
              <w:widowControl w:val="0"/>
              <w:kinsoku/>
              <w:wordWrap/>
              <w:overflowPunct w:val="0"/>
              <w:topLinePunct w:val="0"/>
              <w:autoSpaceDE/>
              <w:autoSpaceDN/>
              <w:bidi w:val="0"/>
              <w:adjustRightInd w:val="0"/>
              <w:snapToGrid w:val="0"/>
              <w:spacing w:before="54" w:line="530" w:lineRule="exact"/>
              <w:ind w:left="1209"/>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事件</w:t>
            </w:r>
            <w:r>
              <w:rPr>
                <w:rFonts w:hint="eastAsia" w:ascii="仿宋" w:hAnsi="仿宋" w:eastAsia="仿宋" w:cs="仿宋"/>
                <w:b w:val="0"/>
                <w:bCs/>
                <w:color w:val="auto"/>
                <w:spacing w:val="-1"/>
                <w:sz w:val="30"/>
                <w:szCs w:val="30"/>
              </w:rPr>
              <w:t>类型</w:t>
            </w:r>
          </w:p>
        </w:tc>
        <w:tc>
          <w:tcPr>
            <w:tcW w:w="3768" w:type="dxa"/>
            <w:tcBorders>
              <w:top w:val="single" w:color="000000" w:sz="2" w:space="0"/>
              <w:bottom w:val="single" w:color="000000" w:sz="2" w:space="0"/>
            </w:tcBorders>
            <w:noWrap w:val="0"/>
            <w:vAlign w:val="top"/>
          </w:tcPr>
          <w:p w14:paraId="039A27BA">
            <w:pPr>
              <w:keepNext w:val="0"/>
              <w:keepLines w:val="0"/>
              <w:pageBreakBefore w:val="0"/>
              <w:widowControl w:val="0"/>
              <w:kinsoku/>
              <w:wordWrap/>
              <w:overflowPunct w:val="0"/>
              <w:topLinePunct w:val="0"/>
              <w:autoSpaceDE/>
              <w:autoSpaceDN/>
              <w:bidi w:val="0"/>
              <w:adjustRightInd w:val="0"/>
              <w:snapToGrid w:val="0"/>
              <w:spacing w:before="54" w:line="530" w:lineRule="exact"/>
              <w:ind w:left="1464"/>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违约</w:t>
            </w:r>
            <w:r>
              <w:rPr>
                <w:rFonts w:hint="eastAsia" w:ascii="仿宋" w:hAnsi="仿宋" w:eastAsia="仿宋" w:cs="仿宋"/>
                <w:b w:val="0"/>
                <w:bCs/>
                <w:color w:val="auto"/>
                <w:spacing w:val="-1"/>
                <w:sz w:val="30"/>
                <w:szCs w:val="30"/>
              </w:rPr>
              <w:t>金额</w:t>
            </w:r>
          </w:p>
        </w:tc>
      </w:tr>
      <w:tr w14:paraId="53AD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245" w:type="dxa"/>
            <w:tcBorders>
              <w:top w:val="single" w:color="000000" w:sz="2" w:space="0"/>
              <w:bottom w:val="single" w:color="000000" w:sz="2" w:space="0"/>
            </w:tcBorders>
            <w:noWrap w:val="0"/>
            <w:vAlign w:val="top"/>
          </w:tcPr>
          <w:p w14:paraId="70191770">
            <w:pPr>
              <w:keepNext w:val="0"/>
              <w:keepLines w:val="0"/>
              <w:pageBreakBefore w:val="0"/>
              <w:widowControl w:val="0"/>
              <w:kinsoku/>
              <w:wordWrap/>
              <w:overflowPunct w:val="0"/>
              <w:topLinePunct w:val="0"/>
              <w:autoSpaceDE/>
              <w:autoSpaceDN/>
              <w:bidi w:val="0"/>
              <w:adjustRightInd w:val="0"/>
              <w:snapToGrid w:val="0"/>
              <w:spacing w:before="49" w:line="530" w:lineRule="exact"/>
              <w:ind w:left="1209"/>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较大</w:t>
            </w:r>
            <w:r>
              <w:rPr>
                <w:rFonts w:hint="eastAsia" w:ascii="仿宋" w:hAnsi="仿宋" w:eastAsia="仿宋" w:cs="仿宋"/>
                <w:b w:val="0"/>
                <w:bCs/>
                <w:color w:val="auto"/>
                <w:spacing w:val="-1"/>
                <w:sz w:val="30"/>
                <w:szCs w:val="30"/>
              </w:rPr>
              <w:t>事故</w:t>
            </w:r>
          </w:p>
        </w:tc>
        <w:tc>
          <w:tcPr>
            <w:tcW w:w="3768" w:type="dxa"/>
            <w:tcBorders>
              <w:top w:val="single" w:color="000000" w:sz="2" w:space="0"/>
              <w:bottom w:val="single" w:color="000000" w:sz="2" w:space="0"/>
            </w:tcBorders>
            <w:noWrap w:val="0"/>
            <w:vAlign w:val="top"/>
          </w:tcPr>
          <w:p w14:paraId="0F9F8A5D">
            <w:pPr>
              <w:keepNext w:val="0"/>
              <w:keepLines w:val="0"/>
              <w:pageBreakBefore w:val="0"/>
              <w:widowControl w:val="0"/>
              <w:kinsoku/>
              <w:wordWrap/>
              <w:overflowPunct w:val="0"/>
              <w:topLinePunct w:val="0"/>
              <w:autoSpaceDE/>
              <w:autoSpaceDN/>
              <w:bidi w:val="0"/>
              <w:adjustRightInd w:val="0"/>
              <w:snapToGrid w:val="0"/>
              <w:spacing w:before="49" w:line="530" w:lineRule="exact"/>
              <w:ind w:left="95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签约</w:t>
            </w:r>
            <w:r>
              <w:rPr>
                <w:rFonts w:hint="eastAsia" w:ascii="仿宋" w:hAnsi="仿宋" w:eastAsia="仿宋" w:cs="仿宋"/>
                <w:b w:val="0"/>
                <w:bCs/>
                <w:color w:val="auto"/>
                <w:spacing w:val="-4"/>
                <w:sz w:val="30"/>
                <w:szCs w:val="30"/>
              </w:rPr>
              <w:t>合同价的0.5‰</w:t>
            </w:r>
          </w:p>
        </w:tc>
      </w:tr>
      <w:tr w14:paraId="0BBC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245" w:type="dxa"/>
            <w:tcBorders>
              <w:top w:val="single" w:color="000000" w:sz="2" w:space="0"/>
              <w:bottom w:val="single" w:color="000000" w:sz="2" w:space="0"/>
            </w:tcBorders>
            <w:noWrap w:val="0"/>
            <w:vAlign w:val="top"/>
          </w:tcPr>
          <w:p w14:paraId="19AED741">
            <w:pPr>
              <w:keepNext w:val="0"/>
              <w:keepLines w:val="0"/>
              <w:pageBreakBefore w:val="0"/>
              <w:widowControl w:val="0"/>
              <w:kinsoku/>
              <w:wordWrap/>
              <w:overflowPunct w:val="0"/>
              <w:topLinePunct w:val="0"/>
              <w:autoSpaceDE/>
              <w:autoSpaceDN/>
              <w:bidi w:val="0"/>
              <w:adjustRightInd w:val="0"/>
              <w:snapToGrid w:val="0"/>
              <w:spacing w:before="50" w:line="530" w:lineRule="exact"/>
              <w:ind w:left="121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重大</w:t>
            </w:r>
            <w:r>
              <w:rPr>
                <w:rFonts w:hint="eastAsia" w:ascii="仿宋" w:hAnsi="仿宋" w:eastAsia="仿宋" w:cs="仿宋"/>
                <w:b w:val="0"/>
                <w:bCs/>
                <w:color w:val="auto"/>
                <w:spacing w:val="-1"/>
                <w:sz w:val="30"/>
                <w:szCs w:val="30"/>
              </w:rPr>
              <w:t>事故</w:t>
            </w:r>
          </w:p>
        </w:tc>
        <w:tc>
          <w:tcPr>
            <w:tcW w:w="3768" w:type="dxa"/>
            <w:tcBorders>
              <w:top w:val="single" w:color="000000" w:sz="2" w:space="0"/>
              <w:bottom w:val="single" w:color="000000" w:sz="2" w:space="0"/>
            </w:tcBorders>
            <w:noWrap w:val="0"/>
            <w:vAlign w:val="top"/>
          </w:tcPr>
          <w:p w14:paraId="37FF9D1A">
            <w:pPr>
              <w:keepNext w:val="0"/>
              <w:keepLines w:val="0"/>
              <w:pageBreakBefore w:val="0"/>
              <w:widowControl w:val="0"/>
              <w:kinsoku/>
              <w:wordWrap/>
              <w:overflowPunct w:val="0"/>
              <w:topLinePunct w:val="0"/>
              <w:autoSpaceDE/>
              <w:autoSpaceDN/>
              <w:bidi w:val="0"/>
              <w:adjustRightInd w:val="0"/>
              <w:snapToGrid w:val="0"/>
              <w:spacing w:before="50" w:line="530" w:lineRule="exact"/>
              <w:ind w:left="1058"/>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签</w:t>
            </w:r>
            <w:r>
              <w:rPr>
                <w:rFonts w:hint="eastAsia" w:ascii="仿宋" w:hAnsi="仿宋" w:eastAsia="仿宋" w:cs="仿宋"/>
                <w:b w:val="0"/>
                <w:bCs/>
                <w:color w:val="auto"/>
                <w:spacing w:val="-7"/>
                <w:sz w:val="30"/>
                <w:szCs w:val="30"/>
              </w:rPr>
              <w:t>约</w:t>
            </w:r>
            <w:r>
              <w:rPr>
                <w:rFonts w:hint="eastAsia" w:ascii="仿宋" w:hAnsi="仿宋" w:eastAsia="仿宋" w:cs="仿宋"/>
                <w:b w:val="0"/>
                <w:bCs/>
                <w:color w:val="auto"/>
                <w:spacing w:val="-5"/>
                <w:sz w:val="30"/>
                <w:szCs w:val="30"/>
              </w:rPr>
              <w:t>合同价的2‰</w:t>
            </w:r>
          </w:p>
        </w:tc>
      </w:tr>
      <w:tr w14:paraId="50D3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3245" w:type="dxa"/>
            <w:tcBorders>
              <w:top w:val="single" w:color="000000" w:sz="2" w:space="0"/>
              <w:bottom w:val="single" w:color="000000" w:sz="2" w:space="0"/>
            </w:tcBorders>
            <w:noWrap w:val="0"/>
            <w:vAlign w:val="top"/>
          </w:tcPr>
          <w:p w14:paraId="6D17F1C9">
            <w:pPr>
              <w:keepNext w:val="0"/>
              <w:keepLines w:val="0"/>
              <w:pageBreakBefore w:val="0"/>
              <w:widowControl w:val="0"/>
              <w:kinsoku/>
              <w:wordWrap/>
              <w:overflowPunct w:val="0"/>
              <w:topLinePunct w:val="0"/>
              <w:autoSpaceDE/>
              <w:autoSpaceDN/>
              <w:bidi w:val="0"/>
              <w:adjustRightInd w:val="0"/>
              <w:snapToGrid w:val="0"/>
              <w:spacing w:before="50" w:line="530" w:lineRule="exact"/>
              <w:ind w:left="999"/>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特别重大事</w:t>
            </w:r>
            <w:r>
              <w:rPr>
                <w:rFonts w:hint="eastAsia" w:ascii="仿宋" w:hAnsi="仿宋" w:eastAsia="仿宋" w:cs="仿宋"/>
                <w:b w:val="0"/>
                <w:bCs/>
                <w:color w:val="auto"/>
                <w:sz w:val="30"/>
                <w:szCs w:val="30"/>
              </w:rPr>
              <w:t>故</w:t>
            </w:r>
          </w:p>
        </w:tc>
        <w:tc>
          <w:tcPr>
            <w:tcW w:w="3768" w:type="dxa"/>
            <w:tcBorders>
              <w:top w:val="single" w:color="000000" w:sz="2" w:space="0"/>
              <w:bottom w:val="single" w:color="000000" w:sz="2" w:space="0"/>
            </w:tcBorders>
            <w:noWrap w:val="0"/>
            <w:vAlign w:val="top"/>
          </w:tcPr>
          <w:p w14:paraId="4E939B01">
            <w:pPr>
              <w:keepNext w:val="0"/>
              <w:keepLines w:val="0"/>
              <w:pageBreakBefore w:val="0"/>
              <w:widowControl w:val="0"/>
              <w:kinsoku/>
              <w:wordWrap/>
              <w:overflowPunct w:val="0"/>
              <w:topLinePunct w:val="0"/>
              <w:autoSpaceDE/>
              <w:autoSpaceDN/>
              <w:bidi w:val="0"/>
              <w:adjustRightInd w:val="0"/>
              <w:snapToGrid w:val="0"/>
              <w:spacing w:before="51" w:line="530" w:lineRule="exact"/>
              <w:ind w:left="1058"/>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签</w:t>
            </w:r>
            <w:r>
              <w:rPr>
                <w:rFonts w:hint="eastAsia" w:ascii="仿宋" w:hAnsi="仿宋" w:eastAsia="仿宋" w:cs="仿宋"/>
                <w:b w:val="0"/>
                <w:bCs/>
                <w:color w:val="auto"/>
                <w:spacing w:val="-7"/>
                <w:sz w:val="30"/>
                <w:szCs w:val="30"/>
              </w:rPr>
              <w:t>约</w:t>
            </w:r>
            <w:r>
              <w:rPr>
                <w:rFonts w:hint="eastAsia" w:ascii="仿宋" w:hAnsi="仿宋" w:eastAsia="仿宋" w:cs="仿宋"/>
                <w:b w:val="0"/>
                <w:bCs/>
                <w:color w:val="auto"/>
                <w:spacing w:val="-5"/>
                <w:sz w:val="30"/>
                <w:szCs w:val="30"/>
              </w:rPr>
              <w:t>合同价的4‰</w:t>
            </w:r>
          </w:p>
        </w:tc>
      </w:tr>
    </w:tbl>
    <w:p w14:paraId="77B45366">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position w:val="19"/>
          <w:sz w:val="30"/>
          <w:szCs w:val="30"/>
          <w:lang w:eastAsia="zh-CN"/>
        </w:rPr>
      </w:pPr>
    </w:p>
    <w:p w14:paraId="20A77E0C">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position w:val="19"/>
          <w:sz w:val="30"/>
          <w:szCs w:val="30"/>
        </w:rPr>
      </w:pP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lang w:val="en-US" w:eastAsia="zh-CN"/>
        </w:rPr>
        <w:t>1）</w:t>
      </w:r>
      <w:r>
        <w:rPr>
          <w:rFonts w:hint="eastAsia" w:ascii="仿宋" w:hAnsi="仿宋" w:eastAsia="仿宋" w:cs="仿宋"/>
          <w:b w:val="0"/>
          <w:bCs/>
          <w:color w:val="auto"/>
          <w:position w:val="19"/>
          <w:sz w:val="30"/>
          <w:szCs w:val="30"/>
        </w:rPr>
        <w:t>较大事故，是指造成3人以上10人以下死亡，或者10人以上50人以下重伤，或者1000万元以上5000万元以下直接经济损失的事故；</w:t>
      </w:r>
    </w:p>
    <w:p w14:paraId="6420E796">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position w:val="19"/>
          <w:sz w:val="30"/>
          <w:szCs w:val="30"/>
        </w:rPr>
      </w:pP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lang w:val="en-US" w:eastAsia="zh-CN"/>
        </w:rPr>
        <w:t>2）</w:t>
      </w:r>
      <w:r>
        <w:rPr>
          <w:rFonts w:hint="eastAsia" w:ascii="仿宋" w:hAnsi="仿宋" w:eastAsia="仿宋" w:cs="仿宋"/>
          <w:b w:val="0"/>
          <w:bCs/>
          <w:color w:val="auto"/>
          <w:position w:val="19"/>
          <w:sz w:val="30"/>
          <w:szCs w:val="30"/>
        </w:rPr>
        <w:t>重大事故，是指造成10人以上30人以下死亡，或者50人以上100人以下重伤，或者5000万元以上1亿元以下直接经济损失的事故；</w:t>
      </w:r>
    </w:p>
    <w:p w14:paraId="7D633246">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position w:val="19"/>
          <w:sz w:val="30"/>
          <w:szCs w:val="30"/>
        </w:rPr>
      </w:pPr>
      <w:r>
        <w:rPr>
          <w:rFonts w:hint="eastAsia" w:ascii="仿宋" w:hAnsi="仿宋" w:eastAsia="仿宋" w:cs="仿宋"/>
          <w:b w:val="0"/>
          <w:bCs/>
          <w:color w:val="auto"/>
          <w:position w:val="19"/>
          <w:sz w:val="30"/>
          <w:szCs w:val="30"/>
        </w:rPr>
        <w:t>(3</w:t>
      </w: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rPr>
        <w:t>特别重大事故，是指造成30人以上死亡，或者100人以上重伤</w:t>
      </w: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rPr>
        <w:t>包括急性工业中毒，下同</w:t>
      </w: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rPr>
        <w:t>，或者1亿元以上直接经济损失的事故；</w:t>
      </w:r>
    </w:p>
    <w:p w14:paraId="223DE783">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spacing w:val="1"/>
          <w:position w:val="19"/>
          <w:sz w:val="30"/>
          <w:szCs w:val="30"/>
        </w:rPr>
      </w:pPr>
      <w:r>
        <w:rPr>
          <w:rFonts w:hint="eastAsia" w:ascii="仿宋" w:hAnsi="仿宋" w:eastAsia="仿宋" w:cs="仿宋"/>
          <w:b w:val="0"/>
          <w:bCs/>
          <w:color w:val="auto"/>
          <w:position w:val="19"/>
          <w:sz w:val="30"/>
          <w:szCs w:val="30"/>
        </w:rPr>
        <w:t>(4</w:t>
      </w: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rPr>
        <w:t>所称的“</w:t>
      </w:r>
      <w:r>
        <w:rPr>
          <w:rFonts w:hint="eastAsia" w:ascii="仿宋" w:hAnsi="仿宋" w:eastAsia="仿宋" w:cs="仿宋"/>
          <w:b w:val="0"/>
          <w:bCs/>
          <w:color w:val="auto"/>
          <w:spacing w:val="1"/>
          <w:position w:val="19"/>
          <w:sz w:val="30"/>
          <w:szCs w:val="30"/>
        </w:rPr>
        <w:t>以上”包括本数，所称的“以下”不包括本数。</w:t>
      </w:r>
    </w:p>
    <w:p w14:paraId="0040EEB6">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4" w:firstLineChars="200"/>
        <w:jc w:val="both"/>
        <w:textAlignment w:val="baseline"/>
        <w:rPr>
          <w:rFonts w:hint="eastAsia" w:ascii="仿宋" w:hAnsi="仿宋" w:eastAsia="仿宋" w:cs="仿宋"/>
          <w:b w:val="0"/>
          <w:bCs/>
          <w:color w:val="auto"/>
          <w:spacing w:val="1"/>
          <w:position w:val="19"/>
          <w:sz w:val="30"/>
          <w:szCs w:val="30"/>
        </w:rPr>
      </w:pPr>
      <w:r>
        <w:rPr>
          <w:rFonts w:hint="eastAsia" w:ascii="仿宋" w:hAnsi="仿宋" w:eastAsia="仿宋" w:cs="仿宋"/>
          <w:b w:val="0"/>
          <w:bCs/>
          <w:color w:val="auto"/>
          <w:spacing w:val="1"/>
          <w:position w:val="19"/>
          <w:sz w:val="30"/>
          <w:szCs w:val="30"/>
        </w:rPr>
        <w:t>(5</w:t>
      </w:r>
      <w:r>
        <w:rPr>
          <w:rFonts w:hint="eastAsia" w:ascii="仿宋" w:hAnsi="仿宋" w:eastAsia="仿宋" w:cs="仿宋"/>
          <w:b w:val="0"/>
          <w:bCs/>
          <w:color w:val="auto"/>
          <w:spacing w:val="1"/>
          <w:position w:val="19"/>
          <w:sz w:val="30"/>
          <w:szCs w:val="30"/>
          <w:lang w:eastAsia="zh-CN"/>
        </w:rPr>
        <w:t>)</w:t>
      </w:r>
      <w:r>
        <w:rPr>
          <w:rFonts w:hint="eastAsia" w:ascii="仿宋" w:hAnsi="仿宋" w:eastAsia="仿宋" w:cs="仿宋"/>
          <w:b w:val="0"/>
          <w:bCs/>
          <w:color w:val="auto"/>
          <w:spacing w:val="1"/>
          <w:position w:val="19"/>
          <w:sz w:val="30"/>
          <w:szCs w:val="30"/>
        </w:rPr>
        <w:t>如整个施工过程未发生以上安全事故，则给予承包人建安费总额的1‰的安全奖励。</w:t>
      </w:r>
    </w:p>
    <w:p w14:paraId="691668E8">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4" w:firstLineChars="200"/>
        <w:jc w:val="both"/>
        <w:textAlignment w:val="baseline"/>
        <w:rPr>
          <w:rFonts w:hint="eastAsia" w:ascii="仿宋" w:hAnsi="仿宋" w:eastAsia="仿宋" w:cs="仿宋"/>
          <w:b w:val="0"/>
          <w:bCs/>
          <w:color w:val="auto"/>
          <w:spacing w:val="1"/>
          <w:position w:val="19"/>
          <w:sz w:val="30"/>
          <w:szCs w:val="30"/>
        </w:rPr>
      </w:pPr>
      <w:r>
        <w:rPr>
          <w:rFonts w:hint="eastAsia" w:ascii="仿宋" w:hAnsi="仿宋" w:eastAsia="仿宋" w:cs="仿宋"/>
          <w:b w:val="0"/>
          <w:bCs/>
          <w:color w:val="auto"/>
          <w:spacing w:val="1"/>
          <w:position w:val="19"/>
          <w:sz w:val="30"/>
          <w:szCs w:val="30"/>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p>
    <w:p w14:paraId="1FE7422B">
      <w:pPr>
        <w:keepNext w:val="0"/>
        <w:keepLines w:val="0"/>
        <w:pageBreakBefore w:val="0"/>
        <w:widowControl w:val="0"/>
        <w:kinsoku/>
        <w:wordWrap/>
        <w:overflowPunct w:val="0"/>
        <w:topLinePunct w:val="0"/>
        <w:autoSpaceDE/>
        <w:autoSpaceDN/>
        <w:bidi w:val="0"/>
        <w:adjustRightInd w:val="0"/>
        <w:snapToGrid w:val="0"/>
        <w:spacing w:before="1" w:line="530" w:lineRule="exact"/>
        <w:ind w:left="422"/>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十七、协议</w:t>
      </w:r>
      <w:r>
        <w:rPr>
          <w:rFonts w:hint="eastAsia" w:ascii="仿宋" w:hAnsi="仿宋" w:eastAsia="仿宋" w:cs="仿宋"/>
          <w:b w:val="0"/>
          <w:bCs/>
          <w:color w:val="auto"/>
          <w:sz w:val="30"/>
          <w:szCs w:val="30"/>
        </w:rPr>
        <w:t>条款的修订</w:t>
      </w:r>
    </w:p>
    <w:p w14:paraId="14FB1E6B">
      <w:pPr>
        <w:keepNext w:val="0"/>
        <w:keepLines w:val="0"/>
        <w:pageBreakBefore w:val="0"/>
        <w:widowControl w:val="0"/>
        <w:kinsoku/>
        <w:wordWrap/>
        <w:overflowPunct w:val="0"/>
        <w:topLinePunct w:val="0"/>
        <w:autoSpaceDE/>
        <w:autoSpaceDN/>
        <w:bidi w:val="0"/>
        <w:adjustRightInd w:val="0"/>
        <w:snapToGrid w:val="0"/>
        <w:spacing w:before="215" w:line="530" w:lineRule="exact"/>
        <w:ind w:left="42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在项目实施过程中，经双方友好协商，本协议的</w:t>
      </w:r>
      <w:r>
        <w:rPr>
          <w:rFonts w:hint="eastAsia" w:ascii="仿宋" w:hAnsi="仿宋" w:eastAsia="仿宋" w:cs="仿宋"/>
          <w:b w:val="0"/>
          <w:bCs/>
          <w:color w:val="auto"/>
          <w:sz w:val="30"/>
          <w:szCs w:val="30"/>
        </w:rPr>
        <w:t>有关条款也可做出相应的修改。</w:t>
      </w:r>
    </w:p>
    <w:p w14:paraId="53A3EB25">
      <w:pPr>
        <w:keepNext w:val="0"/>
        <w:keepLines w:val="0"/>
        <w:pageBreakBefore w:val="0"/>
        <w:widowControl w:val="0"/>
        <w:kinsoku/>
        <w:wordWrap/>
        <w:overflowPunct w:val="0"/>
        <w:topLinePunct w:val="0"/>
        <w:autoSpaceDE/>
        <w:autoSpaceDN/>
        <w:bidi w:val="0"/>
        <w:adjustRightInd w:val="0"/>
        <w:snapToGrid w:val="0"/>
        <w:spacing w:before="217" w:line="530" w:lineRule="exact"/>
        <w:ind w:left="21" w:right="1124" w:firstLine="4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本工程安全管理协议，由发包人、承包人双方在施工承包合同签订后7天内共同签署，作为施</w:t>
      </w:r>
      <w:r>
        <w:rPr>
          <w:rFonts w:hint="eastAsia" w:ascii="仿宋" w:hAnsi="仿宋" w:eastAsia="仿宋" w:cs="仿宋"/>
          <w:b w:val="0"/>
          <w:bCs/>
          <w:color w:val="auto"/>
          <w:sz w:val="30"/>
          <w:szCs w:val="30"/>
        </w:rPr>
        <w:t>工合</w:t>
      </w:r>
      <w:r>
        <w:rPr>
          <w:rFonts w:hint="eastAsia" w:ascii="仿宋" w:hAnsi="仿宋" w:eastAsia="仿宋" w:cs="仿宋"/>
          <w:b w:val="0"/>
          <w:bCs/>
          <w:color w:val="auto"/>
          <w:spacing w:val="-11"/>
          <w:sz w:val="30"/>
          <w:szCs w:val="30"/>
        </w:rPr>
        <w:t>同附件。</w:t>
      </w:r>
    </w:p>
    <w:p w14:paraId="1A541000">
      <w:pPr>
        <w:keepNext w:val="0"/>
        <w:keepLines w:val="0"/>
        <w:pageBreakBefore w:val="0"/>
        <w:widowControl w:val="0"/>
        <w:kinsoku/>
        <w:wordWrap/>
        <w:overflowPunct w:val="0"/>
        <w:topLinePunct w:val="0"/>
        <w:autoSpaceDE/>
        <w:autoSpaceDN/>
        <w:bidi w:val="0"/>
        <w:adjustRightInd w:val="0"/>
        <w:snapToGrid w:val="0"/>
        <w:spacing w:line="530" w:lineRule="exact"/>
        <w:ind w:left="427"/>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11"/>
          <w:sz w:val="30"/>
          <w:szCs w:val="30"/>
        </w:rPr>
        <w:t>以下无正文</w:t>
      </w:r>
      <w:r>
        <w:rPr>
          <w:rFonts w:hint="eastAsia" w:ascii="仿宋" w:hAnsi="仿宋" w:eastAsia="仿宋" w:cs="仿宋"/>
          <w:b w:val="0"/>
          <w:bCs/>
          <w:color w:val="auto"/>
          <w:spacing w:val="11"/>
          <w:sz w:val="30"/>
          <w:szCs w:val="30"/>
          <w:lang w:eastAsia="zh-CN"/>
        </w:rPr>
        <w:t>）</w:t>
      </w:r>
    </w:p>
    <w:p w14:paraId="15C80820">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baseline"/>
        <w:rPr>
          <w:rFonts w:hint="eastAsia" w:ascii="仿宋" w:hAnsi="仿宋" w:eastAsia="仿宋" w:cs="仿宋"/>
          <w:b w:val="0"/>
          <w:bCs/>
          <w:color w:val="auto"/>
          <w:sz w:val="30"/>
          <w:szCs w:val="30"/>
        </w:rPr>
      </w:pPr>
    </w:p>
    <w:p w14:paraId="02E4002A">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p>
    <w:p w14:paraId="5322B093">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14:paraId="36CB3EC5">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法定代表人或其委托代理人：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法定代表人或其委托代理人：</w:t>
      </w:r>
    </w:p>
    <w:p w14:paraId="7EC57891">
      <w:pPr>
        <w:spacing w:line="360" w:lineRule="auto"/>
        <w:rPr>
          <w:rFonts w:hint="eastAsia" w:ascii="仿宋" w:hAnsi="仿宋" w:eastAsia="仿宋" w:cs="仿宋"/>
          <w:b w:val="0"/>
          <w:bCs/>
          <w:color w:val="auto"/>
          <w:spacing w:val="-10"/>
          <w:sz w:val="30"/>
          <w:szCs w:val="30"/>
        </w:rPr>
      </w:pPr>
      <w:r>
        <w:rPr>
          <w:rFonts w:hint="eastAsia" w:ascii="Times New Roman" w:hAnsi="Times New Roman" w:eastAsia="仿宋_GB2312"/>
          <w:color w:val="000000"/>
          <w:sz w:val="30"/>
          <w:szCs w:val="30"/>
        </w:rPr>
        <w:t xml:space="preserve">（签字）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（签字）</w:t>
      </w:r>
    </w:p>
    <w:p w14:paraId="262A81BC">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bookmarkStart w:id="959" w:name="_Toc4892"/>
    </w:p>
    <w:p w14:paraId="194A7D50">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p>
    <w:p w14:paraId="068DAB7C">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p>
    <w:p w14:paraId="4A91D532">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p>
    <w:p w14:paraId="45E149D2">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7D24FC1F">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2AB53474">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10819CDB">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36D9AC71">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7C2DA984">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6C8874E5">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4F7199C8">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黑体" w:hAnsi="黑体" w:eastAsia="黑体" w:cs="黑体"/>
          <w:b w:val="0"/>
          <w:bCs/>
          <w:color w:val="auto"/>
          <w:spacing w:val="-10"/>
          <w:sz w:val="30"/>
          <w:szCs w:val="30"/>
        </w:rPr>
      </w:pPr>
      <w:r>
        <w:rPr>
          <w:rFonts w:hint="eastAsia" w:ascii="Times New Roman" w:hAnsi="Times New Roman" w:eastAsia="仿宋_GB2312" w:cs="Times New Roman"/>
          <w:color w:val="000000"/>
          <w:sz w:val="30"/>
          <w:szCs w:val="30"/>
        </w:rPr>
        <w:t>附件</w:t>
      </w: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rPr>
        <w:t>：</w:t>
      </w:r>
      <w:r>
        <w:rPr>
          <w:rFonts w:hint="eastAsia" w:ascii="黑体" w:hAnsi="黑体" w:eastAsia="黑体" w:cs="黑体"/>
          <w:b w:val="0"/>
          <w:bCs/>
          <w:color w:val="auto"/>
          <w:spacing w:val="-10"/>
          <w:sz w:val="30"/>
          <w:szCs w:val="30"/>
          <w:lang w:val="en-US" w:eastAsia="zh-CN"/>
        </w:rPr>
        <w:t xml:space="preserve">                   </w:t>
      </w:r>
      <w:r>
        <w:rPr>
          <w:rFonts w:hint="eastAsia" w:ascii="黑体" w:hAnsi="黑体" w:eastAsia="黑体" w:cs="黑体"/>
          <w:b w:val="0"/>
          <w:bCs/>
          <w:color w:val="auto"/>
          <w:spacing w:val="-10"/>
          <w:sz w:val="30"/>
          <w:szCs w:val="30"/>
        </w:rPr>
        <w:t>廉洁从业协议</w:t>
      </w:r>
      <w:bookmarkEnd w:id="959"/>
    </w:p>
    <w:p w14:paraId="3AA4D066">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baseline"/>
        <w:rPr>
          <w:rFonts w:hint="eastAsia" w:ascii="仿宋" w:hAnsi="仿宋" w:eastAsia="仿宋" w:cs="仿宋"/>
          <w:b w:val="0"/>
          <w:bCs/>
          <w:color w:val="auto"/>
          <w:sz w:val="30"/>
          <w:szCs w:val="30"/>
        </w:rPr>
      </w:pPr>
    </w:p>
    <w:p w14:paraId="1A094D4C">
      <w:pPr>
        <w:keepNext w:val="0"/>
        <w:keepLines w:val="0"/>
        <w:pageBreakBefore w:val="0"/>
        <w:widowControl w:val="0"/>
        <w:kinsoku/>
        <w:wordWrap/>
        <w:overflowPunct w:val="0"/>
        <w:topLinePunct w:val="0"/>
        <w:autoSpaceDE/>
        <w:autoSpaceDN/>
        <w:bidi w:val="0"/>
        <w:adjustRightInd w:val="0"/>
        <w:snapToGrid w:val="0"/>
        <w:spacing w:line="500" w:lineRule="exact"/>
        <w:ind w:left="14"/>
        <w:jc w:val="both"/>
        <w:textAlignment w:val="baseline"/>
        <w:rPr>
          <w:rFonts w:hint="eastAsia" w:ascii="仿宋" w:hAnsi="仿宋" w:eastAsia="仿宋" w:cs="仿宋"/>
          <w:b w:val="0"/>
          <w:bCs/>
          <w:color w:val="auto"/>
          <w:sz w:val="30"/>
          <w:szCs w:val="30"/>
          <w:u w:val="single" w:color="auto"/>
        </w:rPr>
      </w:pPr>
      <w:r>
        <w:rPr>
          <w:rFonts w:hint="eastAsia" w:ascii="仿宋" w:hAnsi="仿宋" w:eastAsia="仿宋" w:cs="仿宋"/>
          <w:b w:val="0"/>
          <w:bCs/>
          <w:color w:val="auto"/>
          <w:sz w:val="30"/>
          <w:szCs w:val="30"/>
          <w:u w:val="none" w:color="auto"/>
        </w:rPr>
        <w:t>发包人（全称）：</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p>
    <w:p w14:paraId="47BE8CDC">
      <w:pPr>
        <w:keepNext w:val="0"/>
        <w:keepLines w:val="0"/>
        <w:pageBreakBefore w:val="0"/>
        <w:widowControl w:val="0"/>
        <w:kinsoku/>
        <w:wordWrap/>
        <w:overflowPunct w:val="0"/>
        <w:topLinePunct w:val="0"/>
        <w:autoSpaceDE/>
        <w:autoSpaceDN/>
        <w:bidi w:val="0"/>
        <w:adjustRightInd w:val="0"/>
        <w:snapToGrid w:val="0"/>
        <w:spacing w:line="500" w:lineRule="exact"/>
        <w:ind w:left="14"/>
        <w:jc w:val="both"/>
        <w:textAlignment w:val="baseline"/>
        <w:rPr>
          <w:rFonts w:hint="default" w:ascii="仿宋" w:hAnsi="仿宋" w:eastAsia="仿宋" w:cs="仿宋"/>
          <w:b w:val="0"/>
          <w:bCs/>
          <w:color w:val="auto"/>
          <w:sz w:val="30"/>
          <w:szCs w:val="30"/>
          <w:u w:val="single" w:color="auto"/>
          <w:lang w:val="en-US" w:eastAsia="zh-CN"/>
        </w:rPr>
      </w:pPr>
      <w:r>
        <w:rPr>
          <w:rFonts w:hint="eastAsia" w:ascii="仿宋" w:hAnsi="仿宋" w:eastAsia="仿宋" w:cs="仿宋"/>
          <w:b w:val="0"/>
          <w:bCs/>
          <w:color w:val="auto"/>
          <w:sz w:val="30"/>
          <w:szCs w:val="30"/>
          <w:u w:val="none" w:color="auto"/>
        </w:rPr>
        <w:t>承包人（全称）：</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p>
    <w:p w14:paraId="1F22C06F">
      <w:pPr>
        <w:keepNext w:val="0"/>
        <w:keepLines w:val="0"/>
        <w:pageBreakBefore w:val="0"/>
        <w:widowControl w:val="0"/>
        <w:kinsoku/>
        <w:wordWrap/>
        <w:overflowPunct w:val="0"/>
        <w:topLinePunct w:val="0"/>
        <w:autoSpaceDE/>
        <w:autoSpaceDN/>
        <w:bidi w:val="0"/>
        <w:adjustRightInd w:val="0"/>
        <w:snapToGrid w:val="0"/>
        <w:spacing w:line="500" w:lineRule="exact"/>
        <w:ind w:left="14"/>
        <w:jc w:val="both"/>
        <w:textAlignment w:val="baseline"/>
        <w:rPr>
          <w:rFonts w:hint="eastAsia" w:ascii="仿宋" w:hAnsi="仿宋" w:eastAsia="仿宋" w:cs="仿宋"/>
          <w:b w:val="0"/>
          <w:bCs/>
          <w:color w:val="auto"/>
          <w:sz w:val="30"/>
          <w:szCs w:val="30"/>
          <w:u w:val="single" w:color="auto"/>
        </w:rPr>
      </w:pPr>
    </w:p>
    <w:p w14:paraId="30957583">
      <w:pPr>
        <w:keepNext w:val="0"/>
        <w:keepLines w:val="0"/>
        <w:pageBreakBefore w:val="0"/>
        <w:widowControl w:val="0"/>
        <w:kinsoku/>
        <w:wordWrap/>
        <w:overflowPunct w:val="0"/>
        <w:topLinePunct w:val="0"/>
        <w:autoSpaceDE/>
        <w:autoSpaceDN/>
        <w:bidi w:val="0"/>
        <w:adjustRightInd w:val="0"/>
        <w:snapToGrid w:val="0"/>
        <w:spacing w:line="500" w:lineRule="exact"/>
        <w:ind w:left="14"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根据国家有关部门以及有关</w:t>
      </w:r>
      <w:r>
        <w:rPr>
          <w:rFonts w:hint="eastAsia" w:ascii="仿宋" w:hAnsi="仿宋" w:eastAsia="仿宋" w:cs="仿宋"/>
          <w:b w:val="0"/>
          <w:bCs/>
          <w:color w:val="auto"/>
          <w:sz w:val="30"/>
          <w:szCs w:val="30"/>
        </w:rPr>
        <w:t>工程建设、廉政建设的规定，为做好工程建设中的党风廉政建设，保证</w:t>
      </w:r>
      <w:r>
        <w:rPr>
          <w:rFonts w:hint="eastAsia" w:ascii="仿宋" w:hAnsi="仿宋" w:eastAsia="仿宋" w:cs="仿宋"/>
          <w:b w:val="0"/>
          <w:bCs/>
          <w:color w:val="auto"/>
          <w:spacing w:val="4"/>
          <w:sz w:val="30"/>
          <w:szCs w:val="30"/>
        </w:rPr>
        <w:t>工</w:t>
      </w:r>
      <w:r>
        <w:rPr>
          <w:rFonts w:hint="eastAsia" w:ascii="仿宋" w:hAnsi="仿宋" w:eastAsia="仿宋" w:cs="仿宋"/>
          <w:b w:val="0"/>
          <w:bCs/>
          <w:color w:val="auto"/>
          <w:spacing w:val="3"/>
          <w:sz w:val="30"/>
          <w:szCs w:val="30"/>
        </w:rPr>
        <w:t>程建设高效优质，保证建设资金的安全和有效使用以及投资效益，建设工程的项目法人</w:t>
      </w:r>
      <w:r>
        <w:rPr>
          <w:rFonts w:hint="eastAsia" w:ascii="仿宋" w:hAnsi="仿宋" w:eastAsia="仿宋" w:cs="仿宋"/>
          <w:b w:val="0"/>
          <w:bCs/>
          <w:color w:val="auto"/>
          <w:spacing w:val="3"/>
          <w:sz w:val="30"/>
          <w:szCs w:val="30"/>
          <w:lang w:eastAsia="zh-CN"/>
        </w:rPr>
        <w:t>（</w:t>
      </w:r>
      <w:r>
        <w:rPr>
          <w:rFonts w:hint="eastAsia" w:ascii="仿宋" w:hAnsi="仿宋" w:eastAsia="仿宋" w:cs="仿宋"/>
          <w:b w:val="0"/>
          <w:bCs/>
          <w:color w:val="auto"/>
          <w:spacing w:val="3"/>
          <w:sz w:val="30"/>
          <w:szCs w:val="30"/>
        </w:rPr>
        <w:t>以下简称</w:t>
      </w:r>
      <w:r>
        <w:rPr>
          <w:rFonts w:hint="eastAsia" w:ascii="仿宋" w:hAnsi="仿宋" w:eastAsia="仿宋" w:cs="仿宋"/>
          <w:b w:val="0"/>
          <w:bCs/>
          <w:color w:val="auto"/>
          <w:spacing w:val="15"/>
          <w:sz w:val="30"/>
          <w:szCs w:val="30"/>
        </w:rPr>
        <w:t>“</w:t>
      </w:r>
      <w:r>
        <w:rPr>
          <w:rFonts w:hint="eastAsia" w:ascii="仿宋" w:hAnsi="仿宋" w:eastAsia="仿宋" w:cs="仿宋"/>
          <w:b w:val="0"/>
          <w:bCs/>
          <w:color w:val="auto"/>
          <w:spacing w:val="10"/>
          <w:sz w:val="30"/>
          <w:szCs w:val="30"/>
        </w:rPr>
        <w:t>发包人”</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与承包人</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以下简称“承包人”</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，特订立如下协议。</w:t>
      </w:r>
    </w:p>
    <w:p w14:paraId="3A931628">
      <w:pPr>
        <w:keepNext w:val="0"/>
        <w:keepLines w:val="0"/>
        <w:pageBreakBefore w:val="0"/>
        <w:widowControl w:val="0"/>
        <w:kinsoku/>
        <w:wordWrap/>
        <w:overflowPunct w:val="0"/>
        <w:topLinePunct w:val="0"/>
        <w:autoSpaceDE/>
        <w:autoSpaceDN/>
        <w:bidi w:val="0"/>
        <w:adjustRightInd w:val="0"/>
        <w:snapToGrid w:val="0"/>
        <w:spacing w:before="1" w:line="500" w:lineRule="exact"/>
        <w:ind w:left="556"/>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 xml:space="preserve">1. </w:t>
      </w:r>
      <w:r>
        <w:rPr>
          <w:rFonts w:hint="eastAsia" w:ascii="仿宋" w:hAnsi="仿宋" w:eastAsia="仿宋" w:cs="仿宋"/>
          <w:b w:val="0"/>
          <w:bCs/>
          <w:color w:val="auto"/>
          <w:spacing w:val="-1"/>
          <w:sz w:val="30"/>
          <w:szCs w:val="30"/>
        </w:rPr>
        <w:t>发包人承包人的权利和义务</w:t>
      </w:r>
    </w:p>
    <w:p w14:paraId="6B7273BF">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4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(1</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6"/>
          <w:sz w:val="30"/>
          <w:szCs w:val="30"/>
        </w:rPr>
        <w:t>严</w:t>
      </w:r>
      <w:r>
        <w:rPr>
          <w:rFonts w:hint="eastAsia" w:ascii="仿宋" w:hAnsi="仿宋" w:eastAsia="仿宋" w:cs="仿宋"/>
          <w:b w:val="0"/>
          <w:bCs/>
          <w:color w:val="auto"/>
          <w:spacing w:val="5"/>
          <w:sz w:val="30"/>
          <w:szCs w:val="30"/>
        </w:rPr>
        <w:t>格遵守党的政策规定和国家有关法律法规及相关部门的有关规定。</w:t>
      </w:r>
    </w:p>
    <w:p w14:paraId="4A753157">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56"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4"/>
          <w:sz w:val="30"/>
          <w:szCs w:val="30"/>
        </w:rPr>
        <w:t>(</w:t>
      </w:r>
      <w:r>
        <w:rPr>
          <w:rFonts w:hint="eastAsia" w:ascii="仿宋" w:hAnsi="仿宋" w:eastAsia="仿宋" w:cs="仿宋"/>
          <w:b w:val="0"/>
          <w:bCs/>
          <w:color w:val="auto"/>
          <w:spacing w:val="9"/>
          <w:sz w:val="30"/>
          <w:szCs w:val="30"/>
        </w:rPr>
        <w:t>2</w:t>
      </w:r>
      <w:r>
        <w:rPr>
          <w:rFonts w:hint="eastAsia" w:ascii="仿宋" w:hAnsi="仿宋" w:eastAsia="仿宋" w:cs="仿宋"/>
          <w:b w:val="0"/>
          <w:bCs/>
          <w:color w:val="auto"/>
          <w:spacing w:val="9"/>
          <w:sz w:val="30"/>
          <w:szCs w:val="30"/>
          <w:lang w:eastAsia="zh-CN"/>
        </w:rPr>
        <w:t>)</w:t>
      </w:r>
      <w:r>
        <w:rPr>
          <w:rFonts w:hint="eastAsia" w:ascii="仿宋" w:hAnsi="仿宋" w:eastAsia="仿宋" w:cs="仿宋"/>
          <w:b w:val="0"/>
          <w:bCs/>
          <w:color w:val="auto"/>
          <w:spacing w:val="7"/>
          <w:sz w:val="30"/>
          <w:szCs w:val="30"/>
        </w:rPr>
        <w:t>严格</w:t>
      </w:r>
      <w:r>
        <w:rPr>
          <w:rFonts w:hint="eastAsia" w:ascii="仿宋" w:hAnsi="仿宋" w:eastAsia="仿宋" w:cs="仿宋"/>
          <w:b w:val="0"/>
          <w:bCs/>
          <w:color w:val="auto"/>
          <w:spacing w:val="6"/>
          <w:sz w:val="30"/>
          <w:szCs w:val="30"/>
        </w:rPr>
        <w:t>执行工程的合同文件，自觉按合同办事。</w:t>
      </w:r>
    </w:p>
    <w:p w14:paraId="6AD6830C">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24"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6"/>
          <w:sz w:val="30"/>
          <w:szCs w:val="30"/>
        </w:rPr>
        <w:t>(3</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双方的业务活动坚持公开、公正、诚信、透明的原则</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法律认定的商业秘密和合同文件另有规定除外</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，不得损害国家和集体利益，违反工程建设管理规章制度。</w:t>
      </w:r>
    </w:p>
    <w:p w14:paraId="298BB7EB">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24"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6"/>
          <w:sz w:val="30"/>
          <w:szCs w:val="30"/>
        </w:rPr>
        <w:t>(4</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建立健全廉政制度，开展廉政教育，设立廉政告示牌，公布举报电话，监督并认真查处违法违纪行为。</w:t>
      </w:r>
    </w:p>
    <w:p w14:paraId="15D0CCCE">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24"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6"/>
          <w:sz w:val="30"/>
          <w:szCs w:val="30"/>
        </w:rPr>
        <w:t>(5</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发现对方在业务活动中有违反廉政规定的行为，有及时提醒对方纠正的权利和义务。</w:t>
      </w:r>
    </w:p>
    <w:p w14:paraId="57763BC6">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2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6"/>
          <w:sz w:val="30"/>
          <w:szCs w:val="30"/>
        </w:rPr>
        <w:t>(6</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发现对方严重违反协议义务条款的行为，有向其上级有关部门举报、建议给予处理并要求告知处理结果的</w:t>
      </w:r>
      <w:r>
        <w:rPr>
          <w:rFonts w:hint="eastAsia" w:ascii="仿宋" w:hAnsi="仿宋" w:eastAsia="仿宋" w:cs="仿宋"/>
          <w:b w:val="0"/>
          <w:bCs/>
          <w:color w:val="auto"/>
          <w:spacing w:val="-4"/>
          <w:sz w:val="30"/>
          <w:szCs w:val="30"/>
        </w:rPr>
        <w:t>权利</w:t>
      </w:r>
      <w:r>
        <w:rPr>
          <w:rFonts w:hint="eastAsia" w:ascii="仿宋" w:hAnsi="仿宋" w:eastAsia="仿宋" w:cs="仿宋"/>
          <w:b w:val="0"/>
          <w:bCs/>
          <w:color w:val="auto"/>
          <w:spacing w:val="-3"/>
          <w:sz w:val="30"/>
          <w:szCs w:val="30"/>
        </w:rPr>
        <w:t>。</w:t>
      </w:r>
    </w:p>
    <w:p w14:paraId="2E1B58D5">
      <w:pPr>
        <w:keepNext w:val="0"/>
        <w:keepLines w:val="0"/>
        <w:pageBreakBefore w:val="0"/>
        <w:widowControl w:val="0"/>
        <w:kinsoku/>
        <w:wordWrap/>
        <w:overflowPunct w:val="0"/>
        <w:topLinePunct w:val="0"/>
        <w:autoSpaceDE/>
        <w:autoSpaceDN/>
        <w:bidi w:val="0"/>
        <w:adjustRightInd w:val="0"/>
        <w:snapToGrid w:val="0"/>
        <w:spacing w:before="1" w:line="500" w:lineRule="exact"/>
        <w:ind w:left="437"/>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 发包人的</w:t>
      </w:r>
      <w:r>
        <w:rPr>
          <w:rFonts w:hint="eastAsia" w:ascii="仿宋" w:hAnsi="仿宋" w:eastAsia="仿宋" w:cs="仿宋"/>
          <w:b w:val="0"/>
          <w:bCs/>
          <w:color w:val="auto"/>
          <w:sz w:val="30"/>
          <w:szCs w:val="30"/>
        </w:rPr>
        <w:t>义务</w:t>
      </w:r>
    </w:p>
    <w:p w14:paraId="044BA45F">
      <w:pPr>
        <w:keepNext w:val="0"/>
        <w:keepLines w:val="0"/>
        <w:pageBreakBefore w:val="0"/>
        <w:widowControl w:val="0"/>
        <w:kinsoku/>
        <w:wordWrap/>
        <w:overflowPunct w:val="0"/>
        <w:topLinePunct w:val="0"/>
        <w:autoSpaceDE/>
        <w:autoSpaceDN/>
        <w:bidi w:val="0"/>
        <w:adjustRightInd w:val="0"/>
        <w:snapToGrid w:val="0"/>
        <w:spacing w:before="1" w:line="500" w:lineRule="exact"/>
        <w:ind w:firstLine="620"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5"/>
          <w:sz w:val="30"/>
          <w:szCs w:val="30"/>
        </w:rPr>
        <w:t>(1</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发包人及其工作人员不得索要或接受承包人的礼金、有价证券和贵重物品，不得在承包</w:t>
      </w:r>
      <w:r>
        <w:rPr>
          <w:rFonts w:hint="eastAsia" w:ascii="仿宋" w:hAnsi="仿宋" w:eastAsia="仿宋" w:cs="仿宋"/>
          <w:b w:val="0"/>
          <w:bCs/>
          <w:color w:val="auto"/>
          <w:spacing w:val="1"/>
          <w:sz w:val="30"/>
          <w:szCs w:val="30"/>
        </w:rPr>
        <w:t>人</w:t>
      </w:r>
      <w:r>
        <w:rPr>
          <w:rFonts w:hint="eastAsia" w:ascii="仿宋" w:hAnsi="仿宋" w:eastAsia="仿宋" w:cs="仿宋"/>
          <w:b w:val="0"/>
          <w:bCs/>
          <w:color w:val="auto"/>
          <w:sz w:val="30"/>
          <w:szCs w:val="30"/>
        </w:rPr>
        <w:t>报</w:t>
      </w:r>
      <w:r>
        <w:rPr>
          <w:rFonts w:hint="eastAsia" w:ascii="仿宋" w:hAnsi="仿宋" w:eastAsia="仿宋" w:cs="仿宋"/>
          <w:b w:val="0"/>
          <w:bCs/>
          <w:color w:val="auto"/>
          <w:spacing w:val="-2"/>
          <w:sz w:val="30"/>
          <w:szCs w:val="30"/>
        </w:rPr>
        <w:t>销任</w:t>
      </w:r>
      <w:r>
        <w:rPr>
          <w:rFonts w:hint="eastAsia" w:ascii="仿宋" w:hAnsi="仿宋" w:eastAsia="仿宋" w:cs="仿宋"/>
          <w:b w:val="0"/>
          <w:bCs/>
          <w:color w:val="auto"/>
          <w:spacing w:val="-1"/>
          <w:sz w:val="30"/>
          <w:szCs w:val="30"/>
        </w:rPr>
        <w:t>何应由发包人或发包人工作人员个人支付的费用等。</w:t>
      </w:r>
    </w:p>
    <w:p w14:paraId="7589DFB9">
      <w:pPr>
        <w:keepNext w:val="0"/>
        <w:keepLines w:val="0"/>
        <w:pageBreakBefore w:val="0"/>
        <w:widowControl w:val="0"/>
        <w:kinsoku/>
        <w:wordWrap/>
        <w:overflowPunct w:val="0"/>
        <w:topLinePunct w:val="0"/>
        <w:autoSpaceDE/>
        <w:autoSpaceDN/>
        <w:bidi w:val="0"/>
        <w:adjustRightInd w:val="0"/>
        <w:snapToGrid w:val="0"/>
        <w:spacing w:before="1" w:line="500" w:lineRule="exact"/>
        <w:ind w:firstLine="620"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5"/>
          <w:sz w:val="30"/>
          <w:szCs w:val="30"/>
        </w:rPr>
        <w:t>(2</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发包人工作人员不得参加承包人安排的超标准宴请和娱乐活动；不得接受承包人提供的</w:t>
      </w:r>
      <w:r>
        <w:rPr>
          <w:rFonts w:hint="eastAsia" w:ascii="仿宋" w:hAnsi="仿宋" w:eastAsia="仿宋" w:cs="仿宋"/>
          <w:b w:val="0"/>
          <w:bCs/>
          <w:color w:val="auto"/>
          <w:spacing w:val="1"/>
          <w:sz w:val="30"/>
          <w:szCs w:val="30"/>
        </w:rPr>
        <w:t>通</w:t>
      </w:r>
      <w:r>
        <w:rPr>
          <w:rFonts w:hint="eastAsia" w:ascii="仿宋" w:hAnsi="仿宋" w:eastAsia="仿宋" w:cs="仿宋"/>
          <w:b w:val="0"/>
          <w:bCs/>
          <w:color w:val="auto"/>
          <w:sz w:val="30"/>
          <w:szCs w:val="30"/>
        </w:rPr>
        <w:t>讯</w:t>
      </w:r>
      <w:r>
        <w:rPr>
          <w:rFonts w:hint="eastAsia" w:ascii="仿宋" w:hAnsi="仿宋" w:eastAsia="仿宋" w:cs="仿宋"/>
          <w:b w:val="0"/>
          <w:bCs/>
          <w:color w:val="auto"/>
          <w:spacing w:val="-2"/>
          <w:sz w:val="30"/>
          <w:szCs w:val="30"/>
        </w:rPr>
        <w:t>工具、交通工具和高档办公用品等。</w:t>
      </w:r>
    </w:p>
    <w:p w14:paraId="19B32B5D">
      <w:pPr>
        <w:keepNext w:val="0"/>
        <w:keepLines w:val="0"/>
        <w:pageBreakBefore w:val="0"/>
        <w:widowControl w:val="0"/>
        <w:kinsoku/>
        <w:wordWrap/>
        <w:overflowPunct w:val="0"/>
        <w:topLinePunct w:val="0"/>
        <w:autoSpaceDE/>
        <w:autoSpaceDN/>
        <w:bidi w:val="0"/>
        <w:adjustRightInd w:val="0"/>
        <w:snapToGrid w:val="0"/>
        <w:spacing w:before="1" w:line="500" w:lineRule="exact"/>
        <w:ind w:firstLine="632"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8"/>
          <w:sz w:val="30"/>
          <w:szCs w:val="30"/>
        </w:rPr>
        <w:t>(3</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发包人及其</w:t>
      </w:r>
      <w:r>
        <w:rPr>
          <w:rFonts w:hint="eastAsia" w:ascii="仿宋" w:hAnsi="仿宋" w:eastAsia="仿宋" w:cs="仿宋"/>
          <w:b w:val="0"/>
          <w:bCs/>
          <w:color w:val="auto"/>
          <w:spacing w:val="4"/>
          <w:sz w:val="30"/>
          <w:szCs w:val="30"/>
        </w:rPr>
        <w:t>工作人员不得要求或者接受承包人为其住房装修、婚丧嫁娶活动、配偶子女的工</w:t>
      </w:r>
      <w:r>
        <w:rPr>
          <w:rFonts w:hint="eastAsia" w:ascii="仿宋" w:hAnsi="仿宋" w:eastAsia="仿宋" w:cs="仿宋"/>
          <w:b w:val="0"/>
          <w:bCs/>
          <w:color w:val="auto"/>
          <w:spacing w:val="-2"/>
          <w:sz w:val="30"/>
          <w:szCs w:val="30"/>
        </w:rPr>
        <w:t>作安排以及出国出境、</w:t>
      </w:r>
      <w:r>
        <w:rPr>
          <w:rFonts w:hint="eastAsia" w:ascii="仿宋" w:hAnsi="仿宋" w:eastAsia="仿宋" w:cs="仿宋"/>
          <w:b w:val="0"/>
          <w:bCs/>
          <w:color w:val="auto"/>
          <w:spacing w:val="-1"/>
          <w:sz w:val="30"/>
          <w:szCs w:val="30"/>
        </w:rPr>
        <w:t>旅游等提供方便等。</w:t>
      </w:r>
    </w:p>
    <w:p w14:paraId="1C706767">
      <w:pPr>
        <w:keepNext w:val="0"/>
        <w:keepLines w:val="0"/>
        <w:pageBreakBefore w:val="0"/>
        <w:widowControl w:val="0"/>
        <w:kinsoku/>
        <w:wordWrap/>
        <w:overflowPunct w:val="0"/>
        <w:topLinePunct w:val="0"/>
        <w:autoSpaceDE/>
        <w:autoSpaceDN/>
        <w:bidi w:val="0"/>
        <w:adjustRightInd w:val="0"/>
        <w:snapToGrid w:val="0"/>
        <w:spacing w:before="1" w:line="500" w:lineRule="exact"/>
        <w:ind w:firstLine="632"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8"/>
          <w:sz w:val="30"/>
          <w:szCs w:val="30"/>
        </w:rPr>
        <w:t>(4</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发包人工作</w:t>
      </w:r>
      <w:r>
        <w:rPr>
          <w:rFonts w:hint="eastAsia" w:ascii="仿宋" w:hAnsi="仿宋" w:eastAsia="仿宋" w:cs="仿宋"/>
          <w:b w:val="0"/>
          <w:bCs/>
          <w:color w:val="auto"/>
          <w:spacing w:val="4"/>
          <w:sz w:val="30"/>
          <w:szCs w:val="30"/>
        </w:rPr>
        <w:t>人员及其配偶、子女不得从事与发包人工程有关的材料设备供应、工程分包、劳</w:t>
      </w:r>
      <w:r>
        <w:rPr>
          <w:rFonts w:hint="eastAsia" w:ascii="仿宋" w:hAnsi="仿宋" w:eastAsia="仿宋" w:cs="仿宋"/>
          <w:b w:val="0"/>
          <w:bCs/>
          <w:color w:val="auto"/>
          <w:spacing w:val="-5"/>
          <w:sz w:val="30"/>
          <w:szCs w:val="30"/>
        </w:rPr>
        <w:t>务</w:t>
      </w:r>
      <w:r>
        <w:rPr>
          <w:rFonts w:hint="eastAsia" w:ascii="仿宋" w:hAnsi="仿宋" w:eastAsia="仿宋" w:cs="仿宋"/>
          <w:b w:val="0"/>
          <w:bCs/>
          <w:color w:val="auto"/>
          <w:spacing w:val="-4"/>
          <w:sz w:val="30"/>
          <w:szCs w:val="30"/>
        </w:rPr>
        <w:t>等经济活动等。</w:t>
      </w:r>
    </w:p>
    <w:p w14:paraId="320FB892">
      <w:pPr>
        <w:keepNext w:val="0"/>
        <w:keepLines w:val="0"/>
        <w:pageBreakBefore w:val="0"/>
        <w:widowControl w:val="0"/>
        <w:kinsoku/>
        <w:wordWrap/>
        <w:overflowPunct w:val="0"/>
        <w:topLinePunct w:val="0"/>
        <w:autoSpaceDE/>
        <w:autoSpaceDN/>
        <w:bidi w:val="0"/>
        <w:adjustRightInd w:val="0"/>
        <w:snapToGrid w:val="0"/>
        <w:spacing w:before="1" w:line="500" w:lineRule="exact"/>
        <w:ind w:firstLine="620"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5"/>
          <w:sz w:val="30"/>
          <w:szCs w:val="30"/>
        </w:rPr>
        <w:t>(5</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发包人及其工作人员不得以任何理由向承包人推荐分包单位或推销材料，不得要求承包人</w:t>
      </w:r>
      <w:r>
        <w:rPr>
          <w:rFonts w:hint="eastAsia" w:ascii="仿宋" w:hAnsi="仿宋" w:eastAsia="仿宋" w:cs="仿宋"/>
          <w:b w:val="0"/>
          <w:bCs/>
          <w:color w:val="auto"/>
          <w:spacing w:val="4"/>
          <w:sz w:val="30"/>
          <w:szCs w:val="30"/>
        </w:rPr>
        <w:t>购</w:t>
      </w:r>
      <w:r>
        <w:rPr>
          <w:rFonts w:hint="eastAsia" w:ascii="仿宋" w:hAnsi="仿宋" w:eastAsia="仿宋" w:cs="仿宋"/>
          <w:b w:val="0"/>
          <w:bCs/>
          <w:color w:val="auto"/>
          <w:spacing w:val="-3"/>
          <w:sz w:val="30"/>
          <w:szCs w:val="30"/>
        </w:rPr>
        <w:t>买合同规定外的材料和设备</w:t>
      </w:r>
      <w:r>
        <w:rPr>
          <w:rFonts w:hint="eastAsia" w:ascii="仿宋" w:hAnsi="仿宋" w:eastAsia="仿宋" w:cs="仿宋"/>
          <w:b w:val="0"/>
          <w:bCs/>
          <w:color w:val="auto"/>
          <w:spacing w:val="-2"/>
          <w:sz w:val="30"/>
          <w:szCs w:val="30"/>
        </w:rPr>
        <w:t>。</w:t>
      </w:r>
    </w:p>
    <w:p w14:paraId="04018FB1">
      <w:pPr>
        <w:keepNext w:val="0"/>
        <w:keepLines w:val="0"/>
        <w:pageBreakBefore w:val="0"/>
        <w:widowControl w:val="0"/>
        <w:kinsoku/>
        <w:wordWrap/>
        <w:overflowPunct w:val="0"/>
        <w:topLinePunct w:val="0"/>
        <w:autoSpaceDE/>
        <w:autoSpaceDN/>
        <w:bidi w:val="0"/>
        <w:adjustRightInd w:val="0"/>
        <w:snapToGrid w:val="0"/>
        <w:spacing w:before="1" w:line="500" w:lineRule="exact"/>
        <w:ind w:firstLine="63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(6</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发包人工作</w:t>
      </w:r>
      <w:r>
        <w:rPr>
          <w:rFonts w:hint="eastAsia" w:ascii="仿宋" w:hAnsi="仿宋" w:eastAsia="仿宋" w:cs="仿宋"/>
          <w:b w:val="0"/>
          <w:bCs/>
          <w:color w:val="auto"/>
          <w:spacing w:val="4"/>
          <w:sz w:val="30"/>
          <w:szCs w:val="30"/>
        </w:rPr>
        <w:t>人员要秉公办事，不准营私舞弊，不准利用职权从事各种个人有偿中介活动和安</w:t>
      </w:r>
      <w:r>
        <w:rPr>
          <w:rFonts w:hint="eastAsia" w:ascii="仿宋" w:hAnsi="仿宋" w:eastAsia="仿宋" w:cs="仿宋"/>
          <w:b w:val="0"/>
          <w:bCs/>
          <w:color w:val="auto"/>
          <w:spacing w:val="-4"/>
          <w:sz w:val="30"/>
          <w:szCs w:val="30"/>
        </w:rPr>
        <w:t>排个人施工队伍</w:t>
      </w:r>
      <w:r>
        <w:rPr>
          <w:rFonts w:hint="eastAsia" w:ascii="仿宋" w:hAnsi="仿宋" w:eastAsia="仿宋" w:cs="仿宋"/>
          <w:b w:val="0"/>
          <w:bCs/>
          <w:color w:val="auto"/>
          <w:spacing w:val="-3"/>
          <w:sz w:val="30"/>
          <w:szCs w:val="30"/>
        </w:rPr>
        <w:t>。</w:t>
      </w:r>
    </w:p>
    <w:p w14:paraId="4D58174C">
      <w:pPr>
        <w:keepNext w:val="0"/>
        <w:keepLines w:val="0"/>
        <w:pageBreakBefore w:val="0"/>
        <w:widowControl w:val="0"/>
        <w:kinsoku/>
        <w:wordWrap/>
        <w:overflowPunct w:val="0"/>
        <w:topLinePunct w:val="0"/>
        <w:autoSpaceDE/>
        <w:autoSpaceDN/>
        <w:bidi w:val="0"/>
        <w:adjustRightInd w:val="0"/>
        <w:snapToGrid w:val="0"/>
        <w:spacing w:before="41" w:line="50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3</w:t>
      </w:r>
      <w:r>
        <w:rPr>
          <w:rFonts w:hint="eastAsia" w:ascii="仿宋" w:hAnsi="仿宋" w:eastAsia="仿宋" w:cs="仿宋"/>
          <w:b w:val="0"/>
          <w:bCs/>
          <w:color w:val="auto"/>
          <w:spacing w:val="-1"/>
          <w:sz w:val="30"/>
          <w:szCs w:val="30"/>
        </w:rPr>
        <w:t>. 承包人义务</w:t>
      </w:r>
    </w:p>
    <w:p w14:paraId="7CEFB99E">
      <w:pPr>
        <w:keepNext w:val="0"/>
        <w:keepLines w:val="0"/>
        <w:pageBreakBefore w:val="0"/>
        <w:widowControl w:val="0"/>
        <w:kinsoku/>
        <w:wordWrap/>
        <w:overflowPunct w:val="0"/>
        <w:topLinePunct w:val="0"/>
        <w:autoSpaceDE/>
        <w:autoSpaceDN/>
        <w:bidi w:val="0"/>
        <w:adjustRightInd w:val="0"/>
        <w:snapToGrid w:val="0"/>
        <w:spacing w:before="215" w:line="500" w:lineRule="exact"/>
        <w:ind w:firstLine="63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(1</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承包</w:t>
      </w:r>
      <w:r>
        <w:rPr>
          <w:rFonts w:hint="eastAsia" w:ascii="仿宋" w:hAnsi="仿宋" w:eastAsia="仿宋" w:cs="仿宋"/>
          <w:b w:val="0"/>
          <w:bCs/>
          <w:color w:val="auto"/>
          <w:spacing w:val="5"/>
          <w:sz w:val="30"/>
          <w:szCs w:val="30"/>
        </w:rPr>
        <w:t>人</w:t>
      </w:r>
      <w:r>
        <w:rPr>
          <w:rFonts w:hint="eastAsia" w:ascii="仿宋" w:hAnsi="仿宋" w:eastAsia="仿宋" w:cs="仿宋"/>
          <w:b w:val="0"/>
          <w:bCs/>
          <w:color w:val="auto"/>
          <w:spacing w:val="4"/>
          <w:sz w:val="30"/>
          <w:szCs w:val="30"/>
        </w:rPr>
        <w:t>不得以任何理由向发包人及其工作人员行贿或馈赠礼金、有价证券、贵重礼品。</w:t>
      </w:r>
    </w:p>
    <w:p w14:paraId="12B5B6EE">
      <w:pPr>
        <w:keepNext w:val="0"/>
        <w:keepLines w:val="0"/>
        <w:pageBreakBefore w:val="0"/>
        <w:widowControl w:val="0"/>
        <w:kinsoku/>
        <w:wordWrap/>
        <w:overflowPunct w:val="0"/>
        <w:topLinePunct w:val="0"/>
        <w:autoSpaceDE/>
        <w:autoSpaceDN/>
        <w:bidi w:val="0"/>
        <w:adjustRightInd w:val="0"/>
        <w:snapToGrid w:val="0"/>
        <w:spacing w:before="216" w:line="500" w:lineRule="exact"/>
        <w:ind w:firstLine="63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(2</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6"/>
          <w:sz w:val="30"/>
          <w:szCs w:val="30"/>
        </w:rPr>
        <w:t>承</w:t>
      </w:r>
      <w:r>
        <w:rPr>
          <w:rFonts w:hint="eastAsia" w:ascii="仿宋" w:hAnsi="仿宋" w:eastAsia="仿宋" w:cs="仿宋"/>
          <w:b w:val="0"/>
          <w:bCs/>
          <w:color w:val="auto"/>
          <w:spacing w:val="4"/>
          <w:sz w:val="30"/>
          <w:szCs w:val="30"/>
        </w:rPr>
        <w:t>包人不得以任何名义为发包人及其工作人员报销应由发包人单位或个人支付的任何费用。</w:t>
      </w:r>
    </w:p>
    <w:p w14:paraId="354A0153">
      <w:pPr>
        <w:keepNext w:val="0"/>
        <w:keepLines w:val="0"/>
        <w:pageBreakBefore w:val="0"/>
        <w:widowControl w:val="0"/>
        <w:kinsoku/>
        <w:wordWrap/>
        <w:overflowPunct w:val="0"/>
        <w:topLinePunct w:val="0"/>
        <w:autoSpaceDE/>
        <w:autoSpaceDN/>
        <w:bidi w:val="0"/>
        <w:adjustRightInd w:val="0"/>
        <w:snapToGrid w:val="0"/>
        <w:spacing w:before="230" w:line="500" w:lineRule="exact"/>
        <w:ind w:firstLine="64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w:t>
      </w:r>
      <w:r>
        <w:rPr>
          <w:rFonts w:hint="eastAsia" w:ascii="仿宋" w:hAnsi="仿宋" w:eastAsia="仿宋" w:cs="仿宋"/>
          <w:b w:val="0"/>
          <w:bCs/>
          <w:color w:val="auto"/>
          <w:spacing w:val="7"/>
          <w:sz w:val="30"/>
          <w:szCs w:val="30"/>
        </w:rPr>
        <w:t>3</w:t>
      </w:r>
      <w:r>
        <w:rPr>
          <w:rFonts w:hint="eastAsia" w:ascii="仿宋" w:hAnsi="仿宋" w:eastAsia="仿宋" w:cs="仿宋"/>
          <w:b w:val="0"/>
          <w:bCs/>
          <w:color w:val="auto"/>
          <w:spacing w:val="7"/>
          <w:sz w:val="30"/>
          <w:szCs w:val="30"/>
          <w:lang w:eastAsia="zh-CN"/>
        </w:rPr>
        <w:t>)</w:t>
      </w:r>
      <w:r>
        <w:rPr>
          <w:rFonts w:hint="eastAsia" w:ascii="仿宋" w:hAnsi="仿宋" w:eastAsia="仿宋" w:cs="仿宋"/>
          <w:b w:val="0"/>
          <w:bCs/>
          <w:color w:val="auto"/>
          <w:spacing w:val="5"/>
          <w:sz w:val="30"/>
          <w:szCs w:val="30"/>
        </w:rPr>
        <w:t>承包人不得以任何理由安排发包人工作人员参加超标准宴请及娱乐活动。</w:t>
      </w:r>
    </w:p>
    <w:p w14:paraId="3F714623">
      <w:pPr>
        <w:keepNext w:val="0"/>
        <w:keepLines w:val="0"/>
        <w:pageBreakBefore w:val="0"/>
        <w:widowControl w:val="0"/>
        <w:kinsoku/>
        <w:wordWrap/>
        <w:overflowPunct w:val="0"/>
        <w:topLinePunct w:val="0"/>
        <w:autoSpaceDE/>
        <w:autoSpaceDN/>
        <w:bidi w:val="0"/>
        <w:adjustRightInd w:val="0"/>
        <w:snapToGrid w:val="0"/>
        <w:spacing w:before="215" w:line="500" w:lineRule="exact"/>
        <w:ind w:firstLine="63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(4</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承包</w:t>
      </w:r>
      <w:r>
        <w:rPr>
          <w:rFonts w:hint="eastAsia" w:ascii="仿宋" w:hAnsi="仿宋" w:eastAsia="仿宋" w:cs="仿宋"/>
          <w:b w:val="0"/>
          <w:bCs/>
          <w:color w:val="auto"/>
          <w:spacing w:val="4"/>
          <w:sz w:val="30"/>
          <w:szCs w:val="30"/>
        </w:rPr>
        <w:t>人不得为发包人单位和个人购置或提供通讯工具、交通工具和高档办公用品等。</w:t>
      </w:r>
    </w:p>
    <w:p w14:paraId="43636B9F">
      <w:pPr>
        <w:keepNext w:val="0"/>
        <w:keepLines w:val="0"/>
        <w:pageBreakBefore w:val="0"/>
        <w:widowControl w:val="0"/>
        <w:kinsoku/>
        <w:wordWrap/>
        <w:overflowPunct w:val="0"/>
        <w:topLinePunct w:val="0"/>
        <w:autoSpaceDE/>
        <w:autoSpaceDN/>
        <w:bidi w:val="0"/>
        <w:adjustRightInd w:val="0"/>
        <w:snapToGrid w:val="0"/>
        <w:spacing w:before="216" w:line="500" w:lineRule="exact"/>
        <w:ind w:left="418"/>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4. 违</w:t>
      </w:r>
      <w:r>
        <w:rPr>
          <w:rFonts w:hint="eastAsia" w:ascii="仿宋" w:hAnsi="仿宋" w:eastAsia="仿宋" w:cs="仿宋"/>
          <w:b w:val="0"/>
          <w:bCs/>
          <w:color w:val="auto"/>
          <w:sz w:val="30"/>
          <w:szCs w:val="30"/>
        </w:rPr>
        <w:t>约责任</w:t>
      </w:r>
    </w:p>
    <w:p w14:paraId="4F8BC785">
      <w:pPr>
        <w:keepNext w:val="0"/>
        <w:keepLines w:val="0"/>
        <w:pageBreakBefore w:val="0"/>
        <w:widowControl w:val="0"/>
        <w:kinsoku/>
        <w:wordWrap/>
        <w:overflowPunct w:val="0"/>
        <w:topLinePunct w:val="0"/>
        <w:autoSpaceDE/>
        <w:autoSpaceDN/>
        <w:bidi w:val="0"/>
        <w:adjustRightInd w:val="0"/>
        <w:snapToGrid w:val="0"/>
        <w:spacing w:before="216" w:line="500" w:lineRule="exact"/>
        <w:ind w:firstLine="61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(1</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发包人及其工作人员违反合</w:t>
      </w:r>
      <w:r>
        <w:rPr>
          <w:rFonts w:hint="eastAsia" w:ascii="仿宋" w:hAnsi="仿宋" w:eastAsia="仿宋" w:cs="仿宋"/>
          <w:b w:val="0"/>
          <w:bCs/>
          <w:color w:val="auto"/>
          <w:spacing w:val="3"/>
          <w:sz w:val="30"/>
          <w:szCs w:val="30"/>
        </w:rPr>
        <w:t>同</w:t>
      </w:r>
      <w:r>
        <w:rPr>
          <w:rFonts w:hint="eastAsia" w:ascii="仿宋" w:hAnsi="仿宋" w:eastAsia="仿宋" w:cs="仿宋"/>
          <w:b w:val="0"/>
          <w:bCs/>
          <w:color w:val="auto"/>
          <w:spacing w:val="2"/>
          <w:sz w:val="30"/>
          <w:szCs w:val="30"/>
        </w:rPr>
        <w:t>第 1、2 条，按管理权限，依据有关规定给予党纪、政纪或组织</w:t>
      </w:r>
      <w:r>
        <w:rPr>
          <w:rFonts w:hint="eastAsia" w:ascii="仿宋" w:hAnsi="仿宋" w:eastAsia="仿宋" w:cs="仿宋"/>
          <w:b w:val="0"/>
          <w:bCs/>
          <w:color w:val="auto"/>
          <w:spacing w:val="-1"/>
          <w:sz w:val="30"/>
          <w:szCs w:val="30"/>
        </w:rPr>
        <w:t>处理；涉嫌犯罪的，移交司法机关追究刑事责任；</w:t>
      </w:r>
      <w:r>
        <w:rPr>
          <w:rFonts w:hint="eastAsia" w:ascii="仿宋" w:hAnsi="仿宋" w:eastAsia="仿宋" w:cs="仿宋"/>
          <w:b w:val="0"/>
          <w:bCs/>
          <w:color w:val="auto"/>
          <w:sz w:val="30"/>
          <w:szCs w:val="30"/>
        </w:rPr>
        <w:t>给承包人单位造成经济损失的，应予以赔偿。</w:t>
      </w:r>
    </w:p>
    <w:p w14:paraId="4D9DD14C">
      <w:pPr>
        <w:keepNext w:val="0"/>
        <w:keepLines w:val="0"/>
        <w:pageBreakBefore w:val="0"/>
        <w:widowControl w:val="0"/>
        <w:kinsoku/>
        <w:wordWrap/>
        <w:overflowPunct w:val="0"/>
        <w:topLinePunct w:val="0"/>
        <w:autoSpaceDE/>
        <w:autoSpaceDN/>
        <w:bidi w:val="0"/>
        <w:adjustRightInd w:val="0"/>
        <w:snapToGrid w:val="0"/>
        <w:spacing w:before="216" w:line="500" w:lineRule="exact"/>
        <w:ind w:firstLine="616"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4"/>
          <w:sz w:val="30"/>
          <w:szCs w:val="30"/>
        </w:rPr>
        <w:t>(2</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承包人及其工作人员违反合</w:t>
      </w:r>
      <w:r>
        <w:rPr>
          <w:rFonts w:hint="eastAsia" w:ascii="仿宋" w:hAnsi="仿宋" w:eastAsia="仿宋" w:cs="仿宋"/>
          <w:b w:val="0"/>
          <w:bCs/>
          <w:color w:val="auto"/>
          <w:spacing w:val="3"/>
          <w:sz w:val="30"/>
          <w:szCs w:val="30"/>
        </w:rPr>
        <w:t>同</w:t>
      </w:r>
      <w:r>
        <w:rPr>
          <w:rFonts w:hint="eastAsia" w:ascii="仿宋" w:hAnsi="仿宋" w:eastAsia="仿宋" w:cs="仿宋"/>
          <w:b w:val="0"/>
          <w:bCs/>
          <w:color w:val="auto"/>
          <w:spacing w:val="2"/>
          <w:sz w:val="30"/>
          <w:szCs w:val="30"/>
        </w:rPr>
        <w:t>第 1、3 条，按管理权限，依据有关规定给予党纪、政纪或组织</w:t>
      </w:r>
      <w:r>
        <w:rPr>
          <w:rFonts w:hint="eastAsia" w:ascii="仿宋" w:hAnsi="仿宋" w:eastAsia="仿宋" w:cs="仿宋"/>
          <w:b w:val="0"/>
          <w:bCs/>
          <w:color w:val="auto"/>
          <w:spacing w:val="-2"/>
          <w:sz w:val="30"/>
          <w:szCs w:val="30"/>
        </w:rPr>
        <w:t>处理；给发包人单</w:t>
      </w:r>
      <w:r>
        <w:rPr>
          <w:rFonts w:hint="eastAsia" w:ascii="仿宋" w:hAnsi="仿宋" w:eastAsia="仿宋" w:cs="仿宋"/>
          <w:b w:val="0"/>
          <w:bCs/>
          <w:color w:val="auto"/>
          <w:spacing w:val="-1"/>
          <w:sz w:val="30"/>
          <w:szCs w:val="30"/>
        </w:rPr>
        <w:t>位造成经济损失的，应予以赔偿。</w:t>
      </w:r>
    </w:p>
    <w:p w14:paraId="0297CD8D">
      <w:pPr>
        <w:keepNext w:val="0"/>
        <w:keepLines w:val="0"/>
        <w:pageBreakBefore w:val="0"/>
        <w:widowControl w:val="0"/>
        <w:kinsoku/>
        <w:wordWrap/>
        <w:overflowPunct w:val="0"/>
        <w:topLinePunct w:val="0"/>
        <w:autoSpaceDE/>
        <w:autoSpaceDN/>
        <w:bidi w:val="0"/>
        <w:adjustRightInd w:val="0"/>
        <w:snapToGrid w:val="0"/>
        <w:spacing w:before="216" w:line="500" w:lineRule="exact"/>
        <w:ind w:firstLine="604"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1"/>
          <w:sz w:val="30"/>
          <w:szCs w:val="30"/>
        </w:rPr>
        <w:t>5. 双方约定：</w:t>
      </w:r>
      <w:r>
        <w:rPr>
          <w:rFonts w:hint="eastAsia" w:ascii="仿宋" w:hAnsi="仿宋" w:eastAsia="仿宋" w:cs="仿宋"/>
          <w:b w:val="0"/>
          <w:bCs/>
          <w:color w:val="auto"/>
          <w:sz w:val="30"/>
          <w:szCs w:val="30"/>
        </w:rPr>
        <w:t>协议由双方或双方上级单位的纪检监察机关负责监督执行。由发包人或发包人上级</w:t>
      </w:r>
      <w:r>
        <w:rPr>
          <w:rFonts w:hint="eastAsia" w:ascii="仿宋" w:hAnsi="仿宋" w:eastAsia="仿宋" w:cs="仿宋"/>
          <w:b w:val="0"/>
          <w:bCs/>
          <w:color w:val="auto"/>
          <w:spacing w:val="1"/>
          <w:sz w:val="30"/>
          <w:szCs w:val="30"/>
        </w:rPr>
        <w:t>单位的纪检</w:t>
      </w:r>
      <w:r>
        <w:rPr>
          <w:rFonts w:hint="eastAsia" w:ascii="仿宋" w:hAnsi="仿宋" w:eastAsia="仿宋" w:cs="仿宋"/>
          <w:b w:val="0"/>
          <w:bCs/>
          <w:color w:val="auto"/>
          <w:sz w:val="30"/>
          <w:szCs w:val="30"/>
        </w:rPr>
        <w:t>监察机关约请承包人或承包人上级单位纪检监察机关对合同执行情况进行检查，提出在协议</w:t>
      </w:r>
      <w:r>
        <w:rPr>
          <w:rFonts w:hint="eastAsia" w:ascii="仿宋" w:hAnsi="仿宋" w:eastAsia="仿宋" w:cs="仿宋"/>
          <w:b w:val="0"/>
          <w:bCs/>
          <w:color w:val="auto"/>
          <w:spacing w:val="-3"/>
          <w:sz w:val="30"/>
          <w:szCs w:val="30"/>
        </w:rPr>
        <w:t>规定范围内的裁定意见</w:t>
      </w:r>
      <w:r>
        <w:rPr>
          <w:rFonts w:hint="eastAsia" w:ascii="仿宋" w:hAnsi="仿宋" w:eastAsia="仿宋" w:cs="仿宋"/>
          <w:b w:val="0"/>
          <w:bCs/>
          <w:color w:val="auto"/>
          <w:spacing w:val="-2"/>
          <w:sz w:val="30"/>
          <w:szCs w:val="30"/>
        </w:rPr>
        <w:t>。</w:t>
      </w:r>
    </w:p>
    <w:p w14:paraId="0007E6AA">
      <w:pPr>
        <w:keepNext w:val="0"/>
        <w:keepLines w:val="0"/>
        <w:pageBreakBefore w:val="0"/>
        <w:widowControl w:val="0"/>
        <w:kinsoku/>
        <w:wordWrap/>
        <w:overflowPunct w:val="0"/>
        <w:topLinePunct w:val="0"/>
        <w:autoSpaceDE/>
        <w:autoSpaceDN/>
        <w:bidi w:val="0"/>
        <w:adjustRightInd w:val="0"/>
        <w:snapToGrid w:val="0"/>
        <w:spacing w:before="216" w:line="50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6. 协议有效期为甲乙双方签署之日起至该工程项目竣工</w:t>
      </w:r>
      <w:r>
        <w:rPr>
          <w:rFonts w:hint="eastAsia" w:ascii="仿宋" w:hAnsi="仿宋" w:eastAsia="仿宋" w:cs="仿宋"/>
          <w:b w:val="0"/>
          <w:bCs/>
          <w:color w:val="auto"/>
          <w:sz w:val="30"/>
          <w:szCs w:val="30"/>
        </w:rPr>
        <w:t>验收后止。</w:t>
      </w:r>
    </w:p>
    <w:p w14:paraId="49A5EE80">
      <w:pPr>
        <w:keepNext w:val="0"/>
        <w:keepLines w:val="0"/>
        <w:pageBreakBefore w:val="0"/>
        <w:widowControl w:val="0"/>
        <w:kinsoku/>
        <w:wordWrap/>
        <w:overflowPunct w:val="0"/>
        <w:topLinePunct w:val="0"/>
        <w:autoSpaceDE/>
        <w:autoSpaceDN/>
        <w:bidi w:val="0"/>
        <w:adjustRightInd w:val="0"/>
        <w:snapToGrid w:val="0"/>
        <w:spacing w:line="50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7.协议作为</w:t>
      </w:r>
      <w:r>
        <w:rPr>
          <w:rFonts w:hint="eastAsia" w:ascii="仿宋" w:hAnsi="仿宋" w:eastAsia="仿宋" w:cs="仿宋"/>
          <w:b w:val="0"/>
          <w:bCs/>
          <w:color w:val="auto"/>
          <w:sz w:val="30"/>
          <w:szCs w:val="30"/>
        </w:rPr>
        <w:t>工程施工合同的附件，与工程施工合同具有同等的法律效力，经合同双方签署立即生</w:t>
      </w:r>
      <w:r>
        <w:rPr>
          <w:rFonts w:hint="eastAsia" w:ascii="仿宋" w:hAnsi="仿宋" w:eastAsia="仿宋" w:cs="仿宋"/>
          <w:b w:val="0"/>
          <w:bCs/>
          <w:color w:val="auto"/>
          <w:spacing w:val="-12"/>
          <w:sz w:val="30"/>
          <w:szCs w:val="30"/>
        </w:rPr>
        <w:t>效</w:t>
      </w:r>
      <w:r>
        <w:rPr>
          <w:rFonts w:hint="eastAsia" w:ascii="仿宋" w:hAnsi="仿宋" w:eastAsia="仿宋" w:cs="仿宋"/>
          <w:b w:val="0"/>
          <w:bCs/>
          <w:color w:val="auto"/>
          <w:spacing w:val="-10"/>
          <w:sz w:val="30"/>
          <w:szCs w:val="30"/>
        </w:rPr>
        <w:t>。</w:t>
      </w:r>
    </w:p>
    <w:p w14:paraId="76184F4F">
      <w:pPr>
        <w:keepNext w:val="0"/>
        <w:keepLines w:val="0"/>
        <w:pageBreakBefore w:val="0"/>
        <w:widowControl w:val="0"/>
        <w:kinsoku/>
        <w:wordWrap/>
        <w:overflowPunct w:val="0"/>
        <w:topLinePunct w:val="0"/>
        <w:autoSpaceDE/>
        <w:autoSpaceDN/>
        <w:bidi w:val="0"/>
        <w:adjustRightInd w:val="0"/>
        <w:snapToGrid w:val="0"/>
        <w:spacing w:line="500" w:lineRule="exact"/>
        <w:ind w:left="425"/>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11"/>
          <w:sz w:val="30"/>
          <w:szCs w:val="30"/>
        </w:rPr>
        <w:t>以下无正文</w:t>
      </w:r>
      <w:r>
        <w:rPr>
          <w:rFonts w:hint="eastAsia" w:ascii="仿宋" w:hAnsi="仿宋" w:eastAsia="仿宋" w:cs="仿宋"/>
          <w:b w:val="0"/>
          <w:bCs/>
          <w:color w:val="auto"/>
          <w:spacing w:val="11"/>
          <w:sz w:val="30"/>
          <w:szCs w:val="30"/>
          <w:lang w:eastAsia="zh-CN"/>
        </w:rPr>
        <w:t>）</w:t>
      </w:r>
    </w:p>
    <w:p w14:paraId="6A4948C8">
      <w:pPr>
        <w:spacing w:line="440" w:lineRule="exact"/>
        <w:rPr>
          <w:rFonts w:ascii="Times New Roman" w:hAnsi="Times New Roman" w:eastAsia="仿宋_GB2312"/>
          <w:color w:val="000000"/>
          <w:sz w:val="30"/>
          <w:szCs w:val="30"/>
        </w:rPr>
      </w:pPr>
    </w:p>
    <w:p w14:paraId="445B3C8B">
      <w:pPr>
        <w:pStyle w:val="51"/>
        <w:rPr>
          <w:rFonts w:ascii="Times New Roman" w:hAnsi="Times New Roman" w:eastAsia="仿宋_GB2312"/>
          <w:color w:val="000000"/>
          <w:sz w:val="30"/>
          <w:szCs w:val="30"/>
        </w:rPr>
      </w:pPr>
    </w:p>
    <w:p w14:paraId="5C36DD66">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p>
    <w:p w14:paraId="750E4577">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14:paraId="2748B5C7">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法定代表人或其委托代理人：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法定代表人或其委托代理人：</w:t>
      </w:r>
    </w:p>
    <w:p w14:paraId="45351062">
      <w:pPr>
        <w:spacing w:line="360" w:lineRule="auto"/>
        <w:rPr>
          <w:rFonts w:hint="eastAsia" w:ascii="仿宋" w:hAnsi="仿宋" w:eastAsia="仿宋" w:cs="仿宋"/>
          <w:b w:val="0"/>
          <w:bCs/>
          <w:color w:val="auto"/>
          <w:spacing w:val="-10"/>
          <w:sz w:val="30"/>
          <w:szCs w:val="30"/>
        </w:rPr>
      </w:pPr>
      <w:r>
        <w:rPr>
          <w:rFonts w:hint="eastAsia" w:ascii="Times New Roman" w:hAnsi="Times New Roman" w:eastAsia="仿宋_GB2312"/>
          <w:color w:val="000000"/>
          <w:sz w:val="30"/>
          <w:szCs w:val="30"/>
        </w:rPr>
        <w:t xml:space="preserve">（签字）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（签字）</w:t>
      </w:r>
    </w:p>
    <w:p w14:paraId="6F87DA65">
      <w:pPr>
        <w:rPr>
          <w:rFonts w:ascii="Times New Roman" w:hAnsi="Times New Roman" w:eastAsia="仿宋_GB2312"/>
          <w:color w:val="000000"/>
          <w:sz w:val="30"/>
          <w:szCs w:val="30"/>
        </w:rPr>
      </w:pPr>
    </w:p>
    <w:p w14:paraId="22211D62">
      <w:pPr>
        <w:pStyle w:val="51"/>
        <w:rPr>
          <w:rFonts w:ascii="Times New Roman" w:hAnsi="Times New Roman" w:eastAsia="仿宋_GB2312"/>
          <w:color w:val="000000"/>
          <w:sz w:val="30"/>
          <w:szCs w:val="30"/>
        </w:rPr>
      </w:pPr>
    </w:p>
    <w:p w14:paraId="10F498A3">
      <w:pPr>
        <w:rPr>
          <w:rFonts w:ascii="Times New Roman" w:hAnsi="Times New Roman" w:eastAsia="仿宋_GB2312"/>
          <w:color w:val="000000"/>
          <w:sz w:val="30"/>
          <w:szCs w:val="30"/>
        </w:rPr>
      </w:pPr>
    </w:p>
    <w:p w14:paraId="358A48F9">
      <w:pPr>
        <w:rPr>
          <w:rFonts w:ascii="Times New Roman" w:hAnsi="Times New Roman" w:eastAsia="仿宋_GB2312"/>
          <w:color w:val="000000"/>
          <w:sz w:val="30"/>
          <w:szCs w:val="30"/>
        </w:rPr>
      </w:pPr>
    </w:p>
    <w:p w14:paraId="7007AE43">
      <w:pPr>
        <w:pStyle w:val="2"/>
        <w:rPr>
          <w:rFonts w:ascii="Times New Roman" w:hAnsi="Times New Roman" w:eastAsia="仿宋_GB2312"/>
          <w:color w:val="000000"/>
          <w:sz w:val="30"/>
          <w:szCs w:val="30"/>
        </w:rPr>
      </w:pPr>
    </w:p>
    <w:p w14:paraId="62579828">
      <w:pPr>
        <w:rPr>
          <w:rFonts w:ascii="Times New Roman" w:hAnsi="Times New Roman" w:eastAsia="仿宋_GB2312"/>
          <w:color w:val="000000"/>
          <w:sz w:val="30"/>
          <w:szCs w:val="30"/>
        </w:rPr>
      </w:pPr>
    </w:p>
    <w:p w14:paraId="2A6C86C1">
      <w:pPr>
        <w:pStyle w:val="2"/>
        <w:rPr>
          <w:rFonts w:ascii="Times New Roman" w:hAnsi="Times New Roman" w:eastAsia="仿宋_GB2312"/>
          <w:color w:val="000000"/>
          <w:sz w:val="30"/>
          <w:szCs w:val="30"/>
        </w:rPr>
      </w:pPr>
    </w:p>
    <w:p w14:paraId="7B115469">
      <w:pPr>
        <w:rPr>
          <w:rFonts w:ascii="Times New Roman" w:hAnsi="Times New Roman" w:eastAsia="仿宋_GB2312"/>
          <w:color w:val="000000"/>
          <w:sz w:val="30"/>
          <w:szCs w:val="30"/>
        </w:rPr>
      </w:pPr>
    </w:p>
    <w:p w14:paraId="132FF5D8">
      <w:pPr>
        <w:pStyle w:val="2"/>
        <w:rPr>
          <w:rFonts w:ascii="Times New Roman" w:hAnsi="Times New Roman" w:eastAsia="仿宋_GB2312"/>
          <w:color w:val="000000"/>
          <w:sz w:val="30"/>
          <w:szCs w:val="30"/>
        </w:rPr>
      </w:pPr>
    </w:p>
    <w:p w14:paraId="441D43CB">
      <w:pPr>
        <w:rPr>
          <w:rFonts w:ascii="Times New Roman" w:hAnsi="Times New Roman" w:eastAsia="仿宋_GB2312"/>
          <w:color w:val="000000"/>
          <w:sz w:val="30"/>
          <w:szCs w:val="30"/>
        </w:rPr>
      </w:pPr>
    </w:p>
    <w:p w14:paraId="4D2D8767">
      <w:pPr>
        <w:pStyle w:val="2"/>
        <w:rPr>
          <w:rFonts w:ascii="Times New Roman" w:hAnsi="Times New Roman" w:eastAsia="仿宋_GB2312"/>
          <w:color w:val="000000"/>
          <w:sz w:val="30"/>
          <w:szCs w:val="30"/>
        </w:rPr>
      </w:pPr>
    </w:p>
    <w:p w14:paraId="7006B437">
      <w:pPr>
        <w:rPr>
          <w:rFonts w:ascii="Times New Roman" w:hAnsi="Times New Roman" w:eastAsia="仿宋_GB2312"/>
          <w:color w:val="000000"/>
          <w:sz w:val="30"/>
          <w:szCs w:val="30"/>
        </w:rPr>
      </w:pPr>
    </w:p>
    <w:p w14:paraId="47C62521">
      <w:pPr>
        <w:pStyle w:val="2"/>
        <w:rPr>
          <w:rFonts w:ascii="Times New Roman" w:hAnsi="Times New Roman" w:eastAsia="仿宋_GB2312"/>
          <w:color w:val="000000"/>
          <w:sz w:val="30"/>
          <w:szCs w:val="30"/>
        </w:rPr>
      </w:pPr>
    </w:p>
    <w:p w14:paraId="326241DE">
      <w:pPr>
        <w:pStyle w:val="2"/>
        <w:rPr>
          <w:rFonts w:ascii="Times New Roman" w:hAnsi="Times New Roman" w:eastAsia="仿宋_GB2312"/>
          <w:color w:val="000000"/>
          <w:sz w:val="30"/>
          <w:szCs w:val="30"/>
        </w:rPr>
      </w:pPr>
    </w:p>
    <w:p w14:paraId="53F4A385"/>
    <w:p w14:paraId="74141CA2">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r>
        <w:rPr>
          <w:rFonts w:hint="eastAsia" w:ascii="Times New Roman" w:hAnsi="Times New Roman" w:eastAsia="仿宋_GB2312" w:cs="Times New Roman"/>
          <w:color w:val="000000"/>
          <w:sz w:val="30"/>
          <w:szCs w:val="30"/>
        </w:rPr>
        <w:t xml:space="preserve">附件 </w:t>
      </w:r>
      <w:r>
        <w:rPr>
          <w:rFonts w:hint="eastAsia" w:ascii="Times New Roman" w:hAnsi="Times New Roman" w:eastAsia="仿宋_GB2312" w:cs="Times New Roman"/>
          <w:color w:val="000000"/>
          <w:sz w:val="30"/>
          <w:szCs w:val="30"/>
          <w:lang w:val="en-US" w:eastAsia="zh-CN"/>
        </w:rPr>
        <w:t>6</w:t>
      </w:r>
      <w:r>
        <w:rPr>
          <w:rFonts w:hint="eastAsia" w:ascii="黑体" w:hAnsi="黑体" w:eastAsia="黑体" w:cs="黑体"/>
          <w:b w:val="0"/>
          <w:bCs/>
          <w:color w:val="auto"/>
          <w:spacing w:val="-10"/>
          <w:sz w:val="30"/>
          <w:szCs w:val="30"/>
        </w:rPr>
        <w:t xml:space="preserve"> </w:t>
      </w:r>
      <w:r>
        <w:rPr>
          <w:rFonts w:hint="eastAsia" w:ascii="仿宋" w:hAnsi="仿宋" w:eastAsia="仿宋" w:cs="仿宋"/>
          <w:b w:val="0"/>
          <w:bCs/>
          <w:color w:val="auto"/>
          <w:spacing w:val="-10"/>
          <w:sz w:val="30"/>
          <w:szCs w:val="30"/>
          <w:lang w:val="en-US" w:eastAsia="zh-CN"/>
        </w:rPr>
        <w:t xml:space="preserve">             </w:t>
      </w:r>
      <w:r>
        <w:rPr>
          <w:rFonts w:hint="eastAsia" w:ascii="黑体" w:hAnsi="黑体" w:eastAsia="黑体" w:cs="黑体"/>
          <w:b w:val="0"/>
          <w:bCs/>
          <w:color w:val="auto"/>
          <w:spacing w:val="-10"/>
          <w:sz w:val="30"/>
          <w:szCs w:val="30"/>
        </w:rPr>
        <w:t>保障建筑工人工资支付协议</w:t>
      </w:r>
    </w:p>
    <w:p w14:paraId="105E591D">
      <w:pPr>
        <w:keepNext w:val="0"/>
        <w:keepLines w:val="0"/>
        <w:pageBreakBefore w:val="0"/>
        <w:widowControl w:val="0"/>
        <w:kinsoku/>
        <w:wordWrap/>
        <w:overflowPunct w:val="0"/>
        <w:topLinePunct w:val="0"/>
        <w:autoSpaceDE/>
        <w:autoSpaceDN/>
        <w:bidi w:val="0"/>
        <w:adjustRightInd w:val="0"/>
        <w:snapToGrid w:val="0"/>
        <w:spacing w:before="68" w:line="500" w:lineRule="exact"/>
        <w:ind w:left="5"/>
        <w:jc w:val="both"/>
        <w:textAlignment w:val="baseline"/>
        <w:rPr>
          <w:rFonts w:hint="eastAsia" w:ascii="仿宋" w:hAnsi="仿宋" w:eastAsia="仿宋" w:cs="仿宋"/>
          <w:b w:val="0"/>
          <w:bCs/>
          <w:color w:val="auto"/>
          <w:spacing w:val="6"/>
          <w:sz w:val="30"/>
          <w:szCs w:val="30"/>
        </w:rPr>
      </w:pPr>
    </w:p>
    <w:p w14:paraId="7928F645">
      <w:pPr>
        <w:keepNext w:val="0"/>
        <w:keepLines w:val="0"/>
        <w:pageBreakBefore w:val="0"/>
        <w:widowControl w:val="0"/>
        <w:kinsoku/>
        <w:wordWrap/>
        <w:overflowPunct w:val="0"/>
        <w:topLinePunct w:val="0"/>
        <w:autoSpaceDE/>
        <w:autoSpaceDN/>
        <w:bidi w:val="0"/>
        <w:adjustRightInd w:val="0"/>
        <w:snapToGrid w:val="0"/>
        <w:spacing w:before="68" w:line="500" w:lineRule="exact"/>
        <w:ind w:left="5"/>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6"/>
          <w:sz w:val="30"/>
          <w:szCs w:val="30"/>
        </w:rPr>
        <w:t>发包人</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全称</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p>
    <w:p w14:paraId="2C804E5A">
      <w:pPr>
        <w:keepNext w:val="0"/>
        <w:keepLines w:val="0"/>
        <w:pageBreakBefore w:val="0"/>
        <w:widowControl w:val="0"/>
        <w:kinsoku/>
        <w:wordWrap/>
        <w:overflowPunct w:val="0"/>
        <w:topLinePunct w:val="0"/>
        <w:autoSpaceDE/>
        <w:autoSpaceDN/>
        <w:bidi w:val="0"/>
        <w:adjustRightInd w:val="0"/>
        <w:snapToGrid w:val="0"/>
        <w:spacing w:line="500" w:lineRule="exact"/>
        <w:ind w:left="1"/>
        <w:jc w:val="both"/>
        <w:textAlignment w:val="baseline"/>
        <w:rPr>
          <w:rFonts w:hint="eastAsia" w:ascii="仿宋" w:hAnsi="仿宋" w:eastAsia="仿宋" w:cs="仿宋"/>
          <w:b w:val="0"/>
          <w:bCs/>
          <w:color w:val="auto"/>
          <w:sz w:val="30"/>
          <w:szCs w:val="30"/>
          <w:u w:val="single" w:color="auto"/>
        </w:rPr>
      </w:pPr>
      <w:r>
        <w:rPr>
          <w:rFonts w:hint="eastAsia" w:ascii="仿宋" w:hAnsi="仿宋" w:eastAsia="仿宋" w:cs="仿宋"/>
          <w:b w:val="0"/>
          <w:bCs/>
          <w:color w:val="auto"/>
          <w:spacing w:val="10"/>
          <w:sz w:val="30"/>
          <w:szCs w:val="30"/>
        </w:rPr>
        <w:t>承</w:t>
      </w:r>
      <w:r>
        <w:rPr>
          <w:rFonts w:hint="eastAsia" w:ascii="仿宋" w:hAnsi="仿宋" w:eastAsia="仿宋" w:cs="仿宋"/>
          <w:b w:val="0"/>
          <w:bCs/>
          <w:color w:val="auto"/>
          <w:spacing w:val="6"/>
          <w:sz w:val="30"/>
          <w:szCs w:val="30"/>
        </w:rPr>
        <w:t>包人</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全称</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lang w:val="en-US" w:eastAsia="zh-CN"/>
        </w:rPr>
        <w:t xml:space="preserve">                  </w:t>
      </w:r>
      <w:r>
        <w:rPr>
          <w:rFonts w:hint="eastAsia" w:ascii="仿宋" w:hAnsi="仿宋" w:eastAsia="仿宋" w:cs="仿宋"/>
          <w:b w:val="0"/>
          <w:bCs/>
          <w:color w:val="auto"/>
          <w:sz w:val="30"/>
          <w:szCs w:val="30"/>
          <w:u w:val="single" w:color="auto"/>
        </w:rPr>
        <w:t xml:space="preserve"> </w:t>
      </w:r>
    </w:p>
    <w:p w14:paraId="3046321D">
      <w:pPr>
        <w:keepNext w:val="0"/>
        <w:keepLines w:val="0"/>
        <w:pageBreakBefore w:val="0"/>
        <w:widowControl w:val="0"/>
        <w:kinsoku/>
        <w:wordWrap/>
        <w:overflowPunct w:val="0"/>
        <w:topLinePunct w:val="0"/>
        <w:autoSpaceDE/>
        <w:autoSpaceDN/>
        <w:bidi w:val="0"/>
        <w:adjustRightInd w:val="0"/>
        <w:snapToGrid w:val="0"/>
        <w:spacing w:line="500" w:lineRule="exact"/>
        <w:ind w:left="1" w:firstLine="61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为贯彻落实《国务院办公厅关</w:t>
      </w:r>
      <w:r>
        <w:rPr>
          <w:rFonts w:hint="eastAsia" w:ascii="仿宋" w:hAnsi="仿宋" w:eastAsia="仿宋" w:cs="仿宋"/>
          <w:b w:val="0"/>
          <w:bCs/>
          <w:color w:val="auto"/>
          <w:spacing w:val="3"/>
          <w:sz w:val="30"/>
          <w:szCs w:val="30"/>
        </w:rPr>
        <w:t>于</w:t>
      </w:r>
      <w:r>
        <w:rPr>
          <w:rFonts w:hint="eastAsia" w:ascii="仿宋" w:hAnsi="仿宋" w:eastAsia="仿宋" w:cs="仿宋"/>
          <w:b w:val="0"/>
          <w:bCs/>
          <w:color w:val="auto"/>
          <w:spacing w:val="2"/>
          <w:sz w:val="30"/>
          <w:szCs w:val="30"/>
        </w:rPr>
        <w:t>全面治理拖欠农民工工资问题的意见》</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国办发〔2016〕1 号</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w:t>
      </w:r>
      <w:r>
        <w:rPr>
          <w:rFonts w:hint="eastAsia" w:ascii="仿宋" w:hAnsi="仿宋" w:eastAsia="仿宋" w:cs="仿宋"/>
          <w:b w:val="0"/>
          <w:bCs/>
          <w:color w:val="auto"/>
          <w:spacing w:val="4"/>
          <w:sz w:val="30"/>
          <w:szCs w:val="30"/>
        </w:rPr>
        <w:t>《重庆市人民政</w:t>
      </w:r>
      <w:r>
        <w:rPr>
          <w:rFonts w:hint="eastAsia" w:ascii="仿宋" w:hAnsi="仿宋" w:eastAsia="仿宋" w:cs="仿宋"/>
          <w:b w:val="0"/>
          <w:bCs/>
          <w:color w:val="auto"/>
          <w:spacing w:val="3"/>
          <w:sz w:val="30"/>
          <w:szCs w:val="30"/>
        </w:rPr>
        <w:t>府</w:t>
      </w:r>
      <w:r>
        <w:rPr>
          <w:rFonts w:hint="eastAsia" w:ascii="仿宋" w:hAnsi="仿宋" w:eastAsia="仿宋" w:cs="仿宋"/>
          <w:b w:val="0"/>
          <w:bCs/>
          <w:color w:val="auto"/>
          <w:spacing w:val="2"/>
          <w:sz w:val="30"/>
          <w:szCs w:val="30"/>
        </w:rPr>
        <w:t>办公厅关于全面治理拖欠农民工工资问题的实施意见》</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渝府办发〔2016〕101</w:t>
      </w:r>
      <w:r>
        <w:rPr>
          <w:rFonts w:hint="eastAsia" w:ascii="仿宋" w:hAnsi="仿宋" w:eastAsia="仿宋" w:cs="仿宋"/>
          <w:b w:val="0"/>
          <w:bCs/>
          <w:color w:val="auto"/>
          <w:spacing w:val="4"/>
          <w:sz w:val="30"/>
          <w:szCs w:val="30"/>
        </w:rPr>
        <w:t>号</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，健全预防和解决拖欠建</w:t>
      </w:r>
      <w:r>
        <w:rPr>
          <w:rFonts w:hint="eastAsia" w:ascii="仿宋" w:hAnsi="仿宋" w:eastAsia="仿宋" w:cs="仿宋"/>
          <w:b w:val="0"/>
          <w:bCs/>
          <w:color w:val="auto"/>
          <w:spacing w:val="3"/>
          <w:sz w:val="30"/>
          <w:szCs w:val="30"/>
        </w:rPr>
        <w:t>筑</w:t>
      </w:r>
      <w:r>
        <w:rPr>
          <w:rFonts w:hint="eastAsia" w:ascii="仿宋" w:hAnsi="仿宋" w:eastAsia="仿宋" w:cs="仿宋"/>
          <w:b w:val="0"/>
          <w:bCs/>
          <w:color w:val="auto"/>
          <w:spacing w:val="2"/>
          <w:sz w:val="30"/>
          <w:szCs w:val="30"/>
        </w:rPr>
        <w:t>工人工资问题的长效机制，切实保障建筑工人劳动报酬权益，维护社会</w:t>
      </w:r>
      <w:r>
        <w:rPr>
          <w:rFonts w:hint="eastAsia" w:ascii="仿宋" w:hAnsi="仿宋" w:eastAsia="仿宋" w:cs="仿宋"/>
          <w:b w:val="0"/>
          <w:bCs/>
          <w:color w:val="auto"/>
          <w:spacing w:val="-1"/>
          <w:sz w:val="30"/>
          <w:szCs w:val="30"/>
        </w:rPr>
        <w:t>公平正义，促进社会和谐稳定。经甲、乙双方结合实际情况，友好协商，达成如下协议</w:t>
      </w:r>
      <w:r>
        <w:rPr>
          <w:rFonts w:hint="eastAsia" w:ascii="仿宋" w:hAnsi="仿宋" w:eastAsia="仿宋" w:cs="仿宋"/>
          <w:b w:val="0"/>
          <w:bCs/>
          <w:color w:val="auto"/>
          <w:sz w:val="30"/>
          <w:szCs w:val="30"/>
        </w:rPr>
        <w:t>：</w:t>
      </w:r>
    </w:p>
    <w:p w14:paraId="2C93F024">
      <w:pPr>
        <w:keepNext w:val="0"/>
        <w:keepLines w:val="0"/>
        <w:pageBreakBefore w:val="0"/>
        <w:widowControl w:val="0"/>
        <w:numPr>
          <w:ilvl w:val="0"/>
          <w:numId w:val="13"/>
        </w:numPr>
        <w:kinsoku/>
        <w:wordWrap/>
        <w:overflowPunct w:val="0"/>
        <w:topLinePunct w:val="0"/>
        <w:autoSpaceDE/>
        <w:autoSpaceDN/>
        <w:bidi w:val="0"/>
        <w:adjustRightInd w:val="0"/>
        <w:snapToGrid w:val="0"/>
        <w:spacing w:line="500" w:lineRule="exact"/>
        <w:ind w:left="1" w:firstLine="600"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z w:val="30"/>
          <w:szCs w:val="30"/>
        </w:rPr>
        <w:t>承包人申报工程进度款时，应对上月已支付工程款用于建筑工人工资发放的情况进行说明，并</w:t>
      </w:r>
      <w:r>
        <w:rPr>
          <w:rFonts w:hint="eastAsia" w:ascii="仿宋" w:hAnsi="仿宋" w:eastAsia="仿宋" w:cs="仿宋"/>
          <w:b w:val="0"/>
          <w:bCs/>
          <w:color w:val="auto"/>
          <w:spacing w:val="4"/>
          <w:sz w:val="30"/>
          <w:szCs w:val="30"/>
        </w:rPr>
        <w:t>附建筑工人代表按时足额收取了工</w:t>
      </w:r>
      <w:r>
        <w:rPr>
          <w:rFonts w:hint="eastAsia" w:ascii="仿宋" w:hAnsi="仿宋" w:eastAsia="仿宋" w:cs="仿宋"/>
          <w:b w:val="0"/>
          <w:bCs/>
          <w:color w:val="auto"/>
          <w:spacing w:val="3"/>
          <w:sz w:val="30"/>
          <w:szCs w:val="30"/>
        </w:rPr>
        <w:t>资</w:t>
      </w:r>
      <w:r>
        <w:rPr>
          <w:rFonts w:hint="eastAsia" w:ascii="仿宋" w:hAnsi="仿宋" w:eastAsia="仿宋" w:cs="仿宋"/>
          <w:b w:val="0"/>
          <w:bCs/>
          <w:color w:val="auto"/>
          <w:spacing w:val="2"/>
          <w:sz w:val="30"/>
          <w:szCs w:val="30"/>
        </w:rPr>
        <w:t>的签名确认书。监理单位应对相关情况说明和签名确认书</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详附</w:t>
      </w:r>
      <w:r>
        <w:rPr>
          <w:rFonts w:hint="eastAsia" w:ascii="仿宋" w:hAnsi="仿宋" w:eastAsia="仿宋" w:cs="仿宋"/>
          <w:b w:val="0"/>
          <w:bCs/>
          <w:color w:val="auto"/>
          <w:spacing w:val="4"/>
          <w:sz w:val="30"/>
          <w:szCs w:val="30"/>
        </w:rPr>
        <w:t>件</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进行审查签名后，与工程进</w:t>
      </w:r>
      <w:r>
        <w:rPr>
          <w:rFonts w:hint="eastAsia" w:ascii="仿宋" w:hAnsi="仿宋" w:eastAsia="仿宋" w:cs="仿宋"/>
          <w:b w:val="0"/>
          <w:bCs/>
          <w:color w:val="auto"/>
          <w:spacing w:val="3"/>
          <w:sz w:val="30"/>
          <w:szCs w:val="30"/>
        </w:rPr>
        <w:t>度</w:t>
      </w:r>
      <w:r>
        <w:rPr>
          <w:rFonts w:hint="eastAsia" w:ascii="仿宋" w:hAnsi="仿宋" w:eastAsia="仿宋" w:cs="仿宋"/>
          <w:b w:val="0"/>
          <w:bCs/>
          <w:color w:val="auto"/>
          <w:spacing w:val="2"/>
          <w:sz w:val="30"/>
          <w:szCs w:val="30"/>
        </w:rPr>
        <w:t>款申报资料一并提交给发包人。发包人审核合格后，才进行当期工程</w:t>
      </w:r>
      <w:r>
        <w:rPr>
          <w:rFonts w:hint="eastAsia" w:ascii="仿宋" w:hAnsi="仿宋" w:eastAsia="仿宋" w:cs="仿宋"/>
          <w:b w:val="0"/>
          <w:bCs/>
          <w:color w:val="auto"/>
          <w:spacing w:val="-6"/>
          <w:sz w:val="30"/>
          <w:szCs w:val="30"/>
        </w:rPr>
        <w:t>进</w:t>
      </w:r>
      <w:r>
        <w:rPr>
          <w:rFonts w:hint="eastAsia" w:ascii="仿宋" w:hAnsi="仿宋" w:eastAsia="仿宋" w:cs="仿宋"/>
          <w:b w:val="0"/>
          <w:bCs/>
          <w:color w:val="auto"/>
          <w:spacing w:val="-4"/>
          <w:sz w:val="30"/>
          <w:szCs w:val="30"/>
        </w:rPr>
        <w:t>度款的支付。</w:t>
      </w:r>
    </w:p>
    <w:p w14:paraId="535C3914">
      <w:pPr>
        <w:keepNext w:val="0"/>
        <w:keepLines w:val="0"/>
        <w:pageBreakBefore w:val="0"/>
        <w:widowControl w:val="0"/>
        <w:numPr>
          <w:ilvl w:val="0"/>
          <w:numId w:val="13"/>
        </w:numPr>
        <w:kinsoku/>
        <w:wordWrap/>
        <w:overflowPunct w:val="0"/>
        <w:topLinePunct w:val="0"/>
        <w:autoSpaceDE/>
        <w:autoSpaceDN/>
        <w:bidi w:val="0"/>
        <w:adjustRightInd w:val="0"/>
        <w:snapToGrid w:val="0"/>
        <w:spacing w:line="500" w:lineRule="exact"/>
        <w:ind w:left="1"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由于工程进度款</w:t>
      </w:r>
      <w:r>
        <w:rPr>
          <w:rFonts w:hint="eastAsia" w:ascii="仿宋" w:hAnsi="仿宋" w:eastAsia="仿宋" w:cs="仿宋"/>
          <w:b w:val="0"/>
          <w:bCs/>
          <w:color w:val="auto"/>
          <w:sz w:val="30"/>
          <w:szCs w:val="30"/>
        </w:rPr>
        <w:t>申报和审查需一定时间，其与建筑工人工资发放时间存在一定时间的延后，承</w:t>
      </w:r>
      <w:r>
        <w:rPr>
          <w:rFonts w:hint="eastAsia" w:ascii="仿宋" w:hAnsi="仿宋" w:eastAsia="仿宋" w:cs="仿宋"/>
          <w:b w:val="0"/>
          <w:bCs/>
          <w:color w:val="auto"/>
          <w:spacing w:val="-2"/>
          <w:sz w:val="30"/>
          <w:szCs w:val="30"/>
        </w:rPr>
        <w:t>包人应具有垫付不低于 3 个月建筑工人工资能力。承包人在本补充协</w:t>
      </w:r>
      <w:r>
        <w:rPr>
          <w:rFonts w:hint="eastAsia" w:ascii="仿宋" w:hAnsi="仿宋" w:eastAsia="仿宋" w:cs="仿宋"/>
          <w:b w:val="0"/>
          <w:bCs/>
          <w:color w:val="auto"/>
          <w:spacing w:val="-1"/>
          <w:sz w:val="30"/>
          <w:szCs w:val="30"/>
        </w:rPr>
        <w:t>议签订后申请的第一笔工程进度款</w:t>
      </w:r>
      <w:r>
        <w:rPr>
          <w:rFonts w:hint="eastAsia" w:ascii="仿宋" w:hAnsi="仿宋" w:eastAsia="仿宋" w:cs="仿宋"/>
          <w:b w:val="0"/>
          <w:bCs/>
          <w:color w:val="auto"/>
          <w:spacing w:val="-2"/>
          <w:sz w:val="30"/>
          <w:szCs w:val="30"/>
        </w:rPr>
        <w:t>时应出具垫付不低于 3 个月建筑工人工资的书面承诺给发包人。发包</w:t>
      </w:r>
      <w:r>
        <w:rPr>
          <w:rFonts w:hint="eastAsia" w:ascii="仿宋" w:hAnsi="仿宋" w:eastAsia="仿宋" w:cs="仿宋"/>
          <w:b w:val="0"/>
          <w:bCs/>
          <w:color w:val="auto"/>
          <w:spacing w:val="-1"/>
          <w:sz w:val="30"/>
          <w:szCs w:val="30"/>
        </w:rPr>
        <w:t>人将承包人是否做出承诺作为支付</w:t>
      </w:r>
      <w:r>
        <w:rPr>
          <w:rFonts w:hint="eastAsia" w:ascii="仿宋" w:hAnsi="仿宋" w:eastAsia="仿宋" w:cs="仿宋"/>
          <w:b w:val="0"/>
          <w:bCs/>
          <w:color w:val="auto"/>
          <w:spacing w:val="-4"/>
          <w:sz w:val="30"/>
          <w:szCs w:val="30"/>
        </w:rPr>
        <w:t>工程</w:t>
      </w:r>
      <w:r>
        <w:rPr>
          <w:rFonts w:hint="eastAsia" w:ascii="仿宋" w:hAnsi="仿宋" w:eastAsia="仿宋" w:cs="仿宋"/>
          <w:b w:val="0"/>
          <w:bCs/>
          <w:color w:val="auto"/>
          <w:spacing w:val="-3"/>
          <w:sz w:val="30"/>
          <w:szCs w:val="30"/>
        </w:rPr>
        <w:t>进</w:t>
      </w:r>
      <w:r>
        <w:rPr>
          <w:rFonts w:hint="eastAsia" w:ascii="仿宋" w:hAnsi="仿宋" w:eastAsia="仿宋" w:cs="仿宋"/>
          <w:b w:val="0"/>
          <w:bCs/>
          <w:color w:val="auto"/>
          <w:spacing w:val="-2"/>
          <w:sz w:val="30"/>
          <w:szCs w:val="30"/>
        </w:rPr>
        <w:t>度款的前提条件之一。</w:t>
      </w:r>
    </w:p>
    <w:p w14:paraId="29FC32C6">
      <w:pPr>
        <w:keepNext w:val="0"/>
        <w:keepLines w:val="0"/>
        <w:pageBreakBefore w:val="0"/>
        <w:widowControl w:val="0"/>
        <w:numPr>
          <w:ilvl w:val="0"/>
          <w:numId w:val="13"/>
        </w:numPr>
        <w:kinsoku/>
        <w:wordWrap/>
        <w:overflowPunct w:val="0"/>
        <w:topLinePunct w:val="0"/>
        <w:autoSpaceDE/>
        <w:autoSpaceDN/>
        <w:bidi w:val="0"/>
        <w:adjustRightInd w:val="0"/>
        <w:snapToGrid w:val="0"/>
        <w:spacing w:line="500" w:lineRule="exact"/>
        <w:ind w:left="1" w:firstLine="58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承包人每月 10 日前将本月作</w:t>
      </w:r>
      <w:r>
        <w:rPr>
          <w:rFonts w:hint="eastAsia" w:ascii="仿宋" w:hAnsi="仿宋" w:eastAsia="仿宋" w:cs="仿宋"/>
          <w:b w:val="0"/>
          <w:bCs/>
          <w:color w:val="auto"/>
          <w:spacing w:val="-2"/>
          <w:sz w:val="30"/>
          <w:szCs w:val="30"/>
        </w:rPr>
        <w:t>业班组、班组人数、建筑工人身份信息等报监理单位，10日</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15</w:t>
      </w:r>
      <w:r>
        <w:rPr>
          <w:rFonts w:hint="eastAsia" w:ascii="仿宋" w:hAnsi="仿宋" w:eastAsia="仿宋" w:cs="仿宋"/>
          <w:b w:val="0"/>
          <w:bCs/>
          <w:color w:val="auto"/>
          <w:sz w:val="30"/>
          <w:szCs w:val="30"/>
        </w:rPr>
        <w:t>日分别以作业班组为小组，每小组自行选举产生一名建筑工人代表，监理单位应全程监督，选举结果与</w:t>
      </w:r>
      <w:r>
        <w:rPr>
          <w:rFonts w:hint="eastAsia" w:ascii="仿宋" w:hAnsi="仿宋" w:eastAsia="仿宋" w:cs="仿宋"/>
          <w:b w:val="0"/>
          <w:bCs/>
          <w:color w:val="auto"/>
          <w:spacing w:val="-4"/>
          <w:sz w:val="30"/>
          <w:szCs w:val="30"/>
        </w:rPr>
        <w:t>当期工程</w:t>
      </w:r>
      <w:r>
        <w:rPr>
          <w:rFonts w:hint="eastAsia" w:ascii="仿宋" w:hAnsi="仿宋" w:eastAsia="仿宋" w:cs="仿宋"/>
          <w:b w:val="0"/>
          <w:bCs/>
          <w:color w:val="auto"/>
          <w:spacing w:val="-2"/>
          <w:sz w:val="30"/>
          <w:szCs w:val="30"/>
        </w:rPr>
        <w:t>款支付申请一并报送发包人。</w:t>
      </w:r>
    </w:p>
    <w:p w14:paraId="08604247">
      <w:pPr>
        <w:keepNext w:val="0"/>
        <w:keepLines w:val="0"/>
        <w:pageBreakBefore w:val="0"/>
        <w:widowControl w:val="0"/>
        <w:numPr>
          <w:ilvl w:val="0"/>
          <w:numId w:val="13"/>
        </w:numPr>
        <w:kinsoku/>
        <w:wordWrap/>
        <w:overflowPunct w:val="0"/>
        <w:topLinePunct w:val="0"/>
        <w:autoSpaceDE/>
        <w:autoSpaceDN/>
        <w:bidi w:val="0"/>
        <w:adjustRightInd w:val="0"/>
        <w:snapToGrid w:val="0"/>
        <w:spacing w:line="500" w:lineRule="exact"/>
        <w:ind w:left="1" w:firstLine="592"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2"/>
          <w:sz w:val="30"/>
          <w:szCs w:val="30"/>
        </w:rPr>
        <w:t>若发现承包人有下列事项的，发包</w:t>
      </w:r>
      <w:r>
        <w:rPr>
          <w:rFonts w:hint="eastAsia" w:ascii="仿宋" w:hAnsi="仿宋" w:eastAsia="仿宋" w:cs="仿宋"/>
          <w:b w:val="0"/>
          <w:bCs/>
          <w:color w:val="auto"/>
          <w:spacing w:val="-1"/>
          <w:sz w:val="30"/>
          <w:szCs w:val="30"/>
        </w:rPr>
        <w:t>人在支付当期进度款时暂扣当期应支付进度款 5%比例的款</w:t>
      </w:r>
      <w:r>
        <w:rPr>
          <w:rFonts w:hint="eastAsia" w:ascii="仿宋" w:hAnsi="仿宋" w:eastAsia="仿宋" w:cs="仿宋"/>
          <w:b w:val="0"/>
          <w:bCs/>
          <w:color w:val="auto"/>
          <w:spacing w:val="-11"/>
          <w:sz w:val="30"/>
          <w:szCs w:val="30"/>
        </w:rPr>
        <w:t>项</w:t>
      </w:r>
      <w:r>
        <w:rPr>
          <w:rFonts w:hint="eastAsia" w:ascii="仿宋" w:hAnsi="仿宋" w:eastAsia="仿宋" w:cs="仿宋"/>
          <w:b w:val="0"/>
          <w:bCs/>
          <w:color w:val="auto"/>
          <w:spacing w:val="-10"/>
          <w:sz w:val="30"/>
          <w:szCs w:val="30"/>
        </w:rPr>
        <w:t>。</w:t>
      </w:r>
    </w:p>
    <w:p w14:paraId="04598FB8">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560"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lang w:val="en-US" w:eastAsia="zh-CN"/>
        </w:rPr>
        <w:t>一）</w:t>
      </w:r>
      <w:r>
        <w:rPr>
          <w:rFonts w:hint="eastAsia" w:ascii="仿宋" w:hAnsi="仿宋" w:eastAsia="仿宋" w:cs="仿宋"/>
          <w:b w:val="0"/>
          <w:bCs/>
          <w:color w:val="auto"/>
          <w:spacing w:val="5"/>
          <w:sz w:val="30"/>
          <w:szCs w:val="30"/>
        </w:rPr>
        <w:t>现场检查发现项目存在拖欠建筑工人工资情况并经核查属实的</w:t>
      </w:r>
    </w:p>
    <w:p w14:paraId="37D2ABE8">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32"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二</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相关行</w:t>
      </w:r>
      <w:r>
        <w:rPr>
          <w:rFonts w:hint="eastAsia" w:ascii="仿宋" w:hAnsi="仿宋" w:eastAsia="仿宋" w:cs="仿宋"/>
          <w:b w:val="0"/>
          <w:bCs/>
          <w:color w:val="auto"/>
          <w:spacing w:val="4"/>
          <w:sz w:val="30"/>
          <w:szCs w:val="30"/>
        </w:rPr>
        <w:t>政管理部门检查发现存在拖欠建筑工人工资情况并经核查属实的；</w:t>
      </w:r>
    </w:p>
    <w:p w14:paraId="5F7393C7">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56"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9"/>
          <w:sz w:val="30"/>
          <w:szCs w:val="30"/>
        </w:rPr>
        <w:t>三</w:t>
      </w:r>
      <w:r>
        <w:rPr>
          <w:rFonts w:hint="eastAsia" w:ascii="仿宋" w:hAnsi="仿宋" w:eastAsia="仿宋" w:cs="仿宋"/>
          <w:b w:val="0"/>
          <w:bCs/>
          <w:color w:val="auto"/>
          <w:spacing w:val="9"/>
          <w:sz w:val="30"/>
          <w:szCs w:val="30"/>
          <w:lang w:eastAsia="zh-CN"/>
        </w:rPr>
        <w:t>）</w:t>
      </w:r>
      <w:r>
        <w:rPr>
          <w:rFonts w:hint="eastAsia" w:ascii="仿宋" w:hAnsi="仿宋" w:eastAsia="仿宋" w:cs="仿宋"/>
          <w:b w:val="0"/>
          <w:bCs/>
          <w:color w:val="auto"/>
          <w:spacing w:val="7"/>
          <w:sz w:val="30"/>
          <w:szCs w:val="30"/>
        </w:rPr>
        <w:t>有拖欠建筑工人工资投诉事项并经核查属实的。</w:t>
      </w:r>
    </w:p>
    <w:p w14:paraId="03857F58">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588"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3"/>
          <w:sz w:val="30"/>
          <w:szCs w:val="30"/>
        </w:rPr>
        <w:t>五</w:t>
      </w:r>
      <w:r>
        <w:rPr>
          <w:rFonts w:hint="eastAsia" w:ascii="仿宋" w:hAnsi="仿宋" w:eastAsia="仿宋" w:cs="仿宋"/>
          <w:b w:val="0"/>
          <w:bCs/>
          <w:color w:val="auto"/>
          <w:spacing w:val="-2"/>
          <w:sz w:val="30"/>
          <w:szCs w:val="30"/>
        </w:rPr>
        <w:t>、对发现的存在拖欠建筑工人工资事项，承包人应在3天内限时整改，并将整改措施和结果</w:t>
      </w:r>
      <w:r>
        <w:rPr>
          <w:rFonts w:hint="eastAsia" w:ascii="仿宋" w:hAnsi="仿宋" w:eastAsia="仿宋" w:cs="仿宋"/>
          <w:b w:val="0"/>
          <w:bCs/>
          <w:color w:val="auto"/>
          <w:spacing w:val="-1"/>
          <w:sz w:val="30"/>
          <w:szCs w:val="30"/>
        </w:rPr>
        <w:t>报发包人审查，经发包人批准同意后，在下一期工程进度款支付中返还暂扣的工程款；如承</w:t>
      </w:r>
      <w:r>
        <w:rPr>
          <w:rFonts w:hint="eastAsia" w:ascii="仿宋" w:hAnsi="仿宋" w:eastAsia="仿宋" w:cs="仿宋"/>
          <w:b w:val="0"/>
          <w:bCs/>
          <w:color w:val="auto"/>
          <w:sz w:val="30"/>
          <w:szCs w:val="30"/>
        </w:rPr>
        <w:t>包人未在3</w:t>
      </w:r>
      <w:r>
        <w:rPr>
          <w:rFonts w:hint="eastAsia" w:ascii="仿宋" w:hAnsi="仿宋" w:eastAsia="仿宋" w:cs="仿宋"/>
          <w:b w:val="0"/>
          <w:bCs/>
          <w:color w:val="auto"/>
          <w:spacing w:val="-1"/>
          <w:sz w:val="30"/>
          <w:szCs w:val="30"/>
        </w:rPr>
        <w:t>天内限时整改，暂扣工程款将继续扣留，直至整改完毕。暂扣</w:t>
      </w:r>
      <w:r>
        <w:rPr>
          <w:rFonts w:hint="eastAsia" w:ascii="仿宋" w:hAnsi="仿宋" w:eastAsia="仿宋" w:cs="仿宋"/>
          <w:b w:val="0"/>
          <w:bCs/>
          <w:color w:val="auto"/>
          <w:sz w:val="30"/>
          <w:szCs w:val="30"/>
        </w:rPr>
        <w:t>款不计息。</w:t>
      </w:r>
    </w:p>
    <w:p w14:paraId="7254C246">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六、本协议经双方法定代表人或委托代理人签名</w:t>
      </w:r>
      <w:r>
        <w:rPr>
          <w:rFonts w:hint="eastAsia" w:ascii="仿宋" w:hAnsi="仿宋" w:eastAsia="仿宋" w:cs="仿宋"/>
          <w:b w:val="0"/>
          <w:bCs/>
          <w:color w:val="auto"/>
          <w:sz w:val="30"/>
          <w:szCs w:val="30"/>
        </w:rPr>
        <w:t>并加盖公章后生效，履行完毕后自然失效。</w:t>
      </w:r>
      <w:r>
        <w:rPr>
          <w:rFonts w:hint="eastAsia" w:ascii="仿宋" w:hAnsi="仿宋" w:eastAsia="仿宋" w:cs="仿宋"/>
          <w:b w:val="0"/>
          <w:bCs/>
          <w:color w:val="auto"/>
          <w:spacing w:val="-16"/>
          <w:sz w:val="30"/>
          <w:szCs w:val="30"/>
        </w:rPr>
        <w:t>附件：</w:t>
      </w:r>
    </w:p>
    <w:p w14:paraId="6ABBAFD1">
      <w:pPr>
        <w:keepNext w:val="0"/>
        <w:keepLines w:val="0"/>
        <w:pageBreakBefore w:val="0"/>
        <w:widowControl w:val="0"/>
        <w:kinsoku/>
        <w:wordWrap/>
        <w:overflowPunct w:val="0"/>
        <w:topLinePunct w:val="0"/>
        <w:autoSpaceDE/>
        <w:autoSpaceDN/>
        <w:bidi w:val="0"/>
        <w:adjustRightInd w:val="0"/>
        <w:snapToGrid w:val="0"/>
        <w:spacing w:line="500" w:lineRule="exact"/>
        <w:ind w:left="437"/>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1、关于建筑工人</w:t>
      </w:r>
      <w:r>
        <w:rPr>
          <w:rFonts w:hint="eastAsia" w:ascii="仿宋" w:hAnsi="仿宋" w:eastAsia="仿宋" w:cs="仿宋"/>
          <w:b w:val="0"/>
          <w:bCs/>
          <w:color w:val="auto"/>
          <w:spacing w:val="-1"/>
          <w:sz w:val="30"/>
          <w:szCs w:val="30"/>
        </w:rPr>
        <w:t>工资发放情况的说明表</w:t>
      </w:r>
    </w:p>
    <w:p w14:paraId="7F2C27BB">
      <w:pPr>
        <w:keepNext w:val="0"/>
        <w:keepLines w:val="0"/>
        <w:pageBreakBefore w:val="0"/>
        <w:widowControl w:val="0"/>
        <w:kinsoku/>
        <w:wordWrap/>
        <w:overflowPunct w:val="0"/>
        <w:topLinePunct w:val="0"/>
        <w:autoSpaceDE w:val="0"/>
        <w:autoSpaceDN w:val="0"/>
        <w:bidi w:val="0"/>
        <w:adjustRightInd w:val="0"/>
        <w:snapToGrid w:val="0"/>
        <w:spacing w:line="440" w:lineRule="exact"/>
        <w:jc w:val="both"/>
        <w:textAlignment w:val="baseline"/>
        <w:rPr>
          <w:rFonts w:hint="eastAsia" w:ascii="仿宋" w:hAnsi="仿宋" w:eastAsia="仿宋" w:cs="仿宋"/>
          <w:b w:val="0"/>
          <w:bCs/>
          <w:color w:val="auto"/>
          <w:sz w:val="30"/>
          <w:szCs w:val="30"/>
        </w:rPr>
      </w:pPr>
    </w:p>
    <w:p w14:paraId="3C61FAB4">
      <w:pPr>
        <w:keepNext w:val="0"/>
        <w:keepLines w:val="0"/>
        <w:pageBreakBefore w:val="0"/>
        <w:widowControl w:val="0"/>
        <w:kinsoku/>
        <w:wordWrap/>
        <w:overflowPunct w:val="0"/>
        <w:topLinePunct w:val="0"/>
        <w:autoSpaceDE w:val="0"/>
        <w:autoSpaceDN w:val="0"/>
        <w:bidi w:val="0"/>
        <w:adjustRightInd w:val="0"/>
        <w:snapToGrid w:val="0"/>
        <w:spacing w:before="68" w:line="440" w:lineRule="exact"/>
        <w:ind w:left="5"/>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11"/>
          <w:sz w:val="30"/>
          <w:szCs w:val="30"/>
        </w:rPr>
        <w:t>以下无正文</w:t>
      </w:r>
      <w:r>
        <w:rPr>
          <w:rFonts w:hint="eastAsia" w:ascii="仿宋" w:hAnsi="仿宋" w:eastAsia="仿宋" w:cs="仿宋"/>
          <w:b w:val="0"/>
          <w:bCs/>
          <w:color w:val="auto"/>
          <w:spacing w:val="11"/>
          <w:sz w:val="30"/>
          <w:szCs w:val="30"/>
          <w:lang w:eastAsia="zh-CN"/>
        </w:rPr>
        <w:t>）</w:t>
      </w:r>
    </w:p>
    <w:p w14:paraId="44DCDCF5">
      <w:pPr>
        <w:pStyle w:val="51"/>
        <w:rPr>
          <w:rFonts w:ascii="Times New Roman" w:hAnsi="Times New Roman" w:eastAsia="仿宋_GB2312"/>
          <w:color w:val="000000"/>
          <w:sz w:val="30"/>
          <w:szCs w:val="30"/>
        </w:rPr>
      </w:pPr>
    </w:p>
    <w:p w14:paraId="799F9EDC">
      <w:pPr>
        <w:rPr>
          <w:rFonts w:ascii="Times New Roman" w:hAnsi="Times New Roman" w:eastAsia="仿宋_GB2312"/>
          <w:color w:val="000000"/>
          <w:sz w:val="30"/>
          <w:szCs w:val="30"/>
        </w:rPr>
      </w:pPr>
    </w:p>
    <w:p w14:paraId="562BDD9C">
      <w:pPr>
        <w:pStyle w:val="51"/>
        <w:rPr>
          <w:rFonts w:ascii="Times New Roman" w:hAnsi="Times New Roman" w:eastAsia="仿宋_GB2312"/>
          <w:color w:val="000000"/>
          <w:sz w:val="30"/>
          <w:szCs w:val="30"/>
        </w:rPr>
      </w:pPr>
    </w:p>
    <w:p w14:paraId="6816C377">
      <w:pPr>
        <w:rPr>
          <w:rFonts w:ascii="Times New Roman" w:hAnsi="Times New Roman" w:eastAsia="仿宋_GB2312"/>
          <w:color w:val="000000"/>
          <w:sz w:val="30"/>
          <w:szCs w:val="30"/>
        </w:rPr>
      </w:pPr>
    </w:p>
    <w:p w14:paraId="18252EDC">
      <w:pPr>
        <w:pStyle w:val="51"/>
        <w:rPr>
          <w:rFonts w:ascii="Times New Roman" w:hAnsi="Times New Roman" w:eastAsia="仿宋_GB2312"/>
          <w:color w:val="000000"/>
          <w:sz w:val="30"/>
          <w:szCs w:val="30"/>
        </w:rPr>
      </w:pPr>
    </w:p>
    <w:p w14:paraId="08E8F960">
      <w:pPr>
        <w:rPr>
          <w:rFonts w:ascii="Times New Roman" w:hAnsi="Times New Roman" w:eastAsia="仿宋_GB2312"/>
          <w:color w:val="000000"/>
          <w:sz w:val="30"/>
          <w:szCs w:val="30"/>
        </w:rPr>
      </w:pPr>
    </w:p>
    <w:p w14:paraId="472C258F">
      <w:pPr>
        <w:pStyle w:val="51"/>
        <w:rPr>
          <w:rFonts w:ascii="Times New Roman" w:hAnsi="Times New Roman" w:eastAsia="仿宋_GB2312"/>
          <w:color w:val="000000"/>
          <w:sz w:val="30"/>
          <w:szCs w:val="30"/>
        </w:rPr>
      </w:pPr>
    </w:p>
    <w:p w14:paraId="22A00724">
      <w:pPr>
        <w:rPr>
          <w:rFonts w:ascii="Times New Roman" w:hAnsi="Times New Roman" w:eastAsia="仿宋_GB2312"/>
          <w:color w:val="000000"/>
          <w:sz w:val="30"/>
          <w:szCs w:val="30"/>
        </w:rPr>
      </w:pPr>
    </w:p>
    <w:p w14:paraId="34D078C3">
      <w:pPr>
        <w:pStyle w:val="51"/>
        <w:rPr>
          <w:rFonts w:ascii="Times New Roman" w:hAnsi="Times New Roman" w:eastAsia="仿宋_GB2312"/>
          <w:color w:val="000000"/>
          <w:sz w:val="30"/>
          <w:szCs w:val="30"/>
        </w:rPr>
      </w:pPr>
    </w:p>
    <w:p w14:paraId="57CCCF4F">
      <w:pPr>
        <w:rPr>
          <w:rFonts w:ascii="Times New Roman" w:hAnsi="Times New Roman" w:eastAsia="仿宋_GB2312"/>
          <w:color w:val="000000"/>
          <w:sz w:val="30"/>
          <w:szCs w:val="30"/>
        </w:rPr>
      </w:pPr>
    </w:p>
    <w:p w14:paraId="67915212">
      <w:pPr>
        <w:pStyle w:val="2"/>
        <w:rPr>
          <w:rFonts w:ascii="Times New Roman" w:hAnsi="Times New Roman" w:eastAsia="仿宋_GB2312"/>
          <w:color w:val="000000"/>
          <w:sz w:val="30"/>
          <w:szCs w:val="30"/>
        </w:rPr>
      </w:pPr>
    </w:p>
    <w:p w14:paraId="7C64B154">
      <w:pPr>
        <w:rPr>
          <w:rFonts w:ascii="Times New Roman" w:hAnsi="Times New Roman" w:eastAsia="仿宋_GB2312"/>
          <w:color w:val="000000"/>
          <w:sz w:val="30"/>
          <w:szCs w:val="30"/>
        </w:rPr>
      </w:pPr>
    </w:p>
    <w:p w14:paraId="2CED8D94">
      <w:pPr>
        <w:pStyle w:val="2"/>
        <w:rPr>
          <w:rFonts w:ascii="Times New Roman" w:hAnsi="Times New Roman" w:eastAsia="仿宋_GB2312"/>
          <w:color w:val="000000"/>
          <w:sz w:val="30"/>
          <w:szCs w:val="30"/>
        </w:rPr>
      </w:pPr>
    </w:p>
    <w:p w14:paraId="22879F14">
      <w:pPr>
        <w:rPr>
          <w:rFonts w:ascii="Times New Roman" w:hAnsi="Times New Roman" w:eastAsia="仿宋_GB2312"/>
          <w:color w:val="000000"/>
          <w:sz w:val="30"/>
          <w:szCs w:val="30"/>
        </w:rPr>
      </w:pPr>
    </w:p>
    <w:p w14:paraId="472E9147">
      <w:pPr>
        <w:pStyle w:val="2"/>
        <w:rPr>
          <w:rFonts w:ascii="Times New Roman" w:hAnsi="Times New Roman" w:eastAsia="仿宋_GB2312"/>
          <w:color w:val="000000"/>
          <w:sz w:val="30"/>
          <w:szCs w:val="30"/>
        </w:rPr>
      </w:pPr>
    </w:p>
    <w:p w14:paraId="4AFBB046">
      <w:pPr>
        <w:rPr>
          <w:rFonts w:ascii="Times New Roman" w:hAnsi="Times New Roman" w:eastAsia="仿宋_GB2312"/>
          <w:color w:val="000000"/>
          <w:sz w:val="30"/>
          <w:szCs w:val="30"/>
        </w:rPr>
      </w:pPr>
    </w:p>
    <w:p w14:paraId="416EDB73">
      <w:pPr>
        <w:pStyle w:val="2"/>
        <w:rPr>
          <w:rFonts w:ascii="Times New Roman" w:hAnsi="Times New Roman" w:eastAsia="仿宋_GB2312"/>
          <w:color w:val="000000"/>
          <w:sz w:val="30"/>
          <w:szCs w:val="30"/>
        </w:rPr>
      </w:pPr>
    </w:p>
    <w:p w14:paraId="673E3F5C">
      <w:pPr>
        <w:rPr>
          <w:rFonts w:ascii="Times New Roman" w:hAnsi="Times New Roman" w:eastAsia="仿宋_GB2312"/>
          <w:color w:val="000000"/>
          <w:sz w:val="30"/>
          <w:szCs w:val="30"/>
        </w:rPr>
      </w:pPr>
    </w:p>
    <w:p w14:paraId="3706A6EB">
      <w:pPr>
        <w:pStyle w:val="2"/>
      </w:pPr>
    </w:p>
    <w:p w14:paraId="6D710C8C"/>
    <w:p w14:paraId="5F416D7C">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附件</w:t>
      </w:r>
      <w:r>
        <w:rPr>
          <w:rFonts w:hint="eastAsia" w:ascii="Times New Roman" w:hAnsi="Times New Roman" w:eastAsia="仿宋_GB2312"/>
          <w:color w:val="000000"/>
          <w:sz w:val="30"/>
          <w:szCs w:val="30"/>
          <w:lang w:val="en-US" w:eastAsia="zh-CN"/>
        </w:rPr>
        <w:t>7</w:t>
      </w:r>
      <w:r>
        <w:rPr>
          <w:rFonts w:ascii="Times New Roman" w:hAnsi="Times New Roman" w:eastAsia="仿宋_GB2312"/>
          <w:color w:val="000000"/>
          <w:sz w:val="30"/>
          <w:szCs w:val="30"/>
        </w:rPr>
        <w:t>：</w:t>
      </w:r>
    </w:p>
    <w:p w14:paraId="44867CCC">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主要建设工程文件目录</w:t>
      </w:r>
    </w:p>
    <w:tbl>
      <w:tblPr>
        <w:tblStyle w:val="5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F015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06064C5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文件名称</w:t>
            </w:r>
          </w:p>
        </w:tc>
        <w:tc>
          <w:tcPr>
            <w:tcW w:w="1276" w:type="dxa"/>
            <w:tcBorders>
              <w:top w:val="single" w:color="auto" w:sz="12" w:space="0"/>
              <w:bottom w:val="double" w:color="auto" w:sz="6" w:space="0"/>
            </w:tcBorders>
            <w:noWrap w:val="0"/>
            <w:vAlign w:val="center"/>
          </w:tcPr>
          <w:p w14:paraId="2A80B4C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套数</w:t>
            </w:r>
          </w:p>
        </w:tc>
        <w:tc>
          <w:tcPr>
            <w:tcW w:w="1450" w:type="dxa"/>
            <w:tcBorders>
              <w:top w:val="single" w:color="auto" w:sz="12" w:space="0"/>
              <w:bottom w:val="double" w:color="auto" w:sz="6" w:space="0"/>
            </w:tcBorders>
            <w:noWrap w:val="0"/>
            <w:vAlign w:val="center"/>
          </w:tcPr>
          <w:p w14:paraId="1FF80F8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费用</w:t>
            </w:r>
            <w:r>
              <w:rPr>
                <w:rFonts w:hint="eastAsia" w:eastAsia="仿宋_GB2312"/>
                <w:color w:val="000000"/>
                <w:kern w:val="2"/>
                <w:sz w:val="28"/>
                <w:szCs w:val="30"/>
                <w:lang w:val="en-US" w:eastAsia="zh-CN"/>
              </w:rPr>
              <w:t>（元）</w:t>
            </w:r>
          </w:p>
        </w:tc>
        <w:tc>
          <w:tcPr>
            <w:tcW w:w="1243" w:type="dxa"/>
            <w:tcBorders>
              <w:top w:val="single" w:color="auto" w:sz="12" w:space="0"/>
              <w:bottom w:val="double" w:color="auto" w:sz="6" w:space="0"/>
            </w:tcBorders>
            <w:noWrap w:val="0"/>
            <w:vAlign w:val="center"/>
          </w:tcPr>
          <w:p w14:paraId="752A0D3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w:t>
            </w:r>
          </w:p>
        </w:tc>
        <w:tc>
          <w:tcPr>
            <w:tcW w:w="1450" w:type="dxa"/>
            <w:tcBorders>
              <w:top w:val="single" w:color="auto" w:sz="12" w:space="0"/>
              <w:bottom w:val="double" w:color="auto" w:sz="6" w:space="0"/>
            </w:tcBorders>
            <w:noWrap w:val="0"/>
            <w:vAlign w:val="top"/>
          </w:tcPr>
          <w:p w14:paraId="120F5B4A">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移交时间</w:t>
            </w:r>
          </w:p>
        </w:tc>
        <w:tc>
          <w:tcPr>
            <w:tcW w:w="1667" w:type="dxa"/>
            <w:tcBorders>
              <w:top w:val="single" w:color="auto" w:sz="12" w:space="0"/>
              <w:bottom w:val="double" w:color="auto" w:sz="6" w:space="0"/>
            </w:tcBorders>
            <w:noWrap w:val="0"/>
            <w:vAlign w:val="top"/>
          </w:tcPr>
          <w:p w14:paraId="789784DD">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责任人</w:t>
            </w:r>
          </w:p>
        </w:tc>
      </w:tr>
      <w:tr w14:paraId="381FA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0B3F1C98">
            <w:pPr>
              <w:pStyle w:val="2"/>
              <w:keepNext/>
              <w:spacing w:after="0" w:line="440" w:lineRule="exact"/>
              <w:ind w:left="63" w:right="63"/>
              <w:rPr>
                <w:rFonts w:eastAsia="仿宋_GB2312"/>
                <w:color w:val="000000"/>
                <w:kern w:val="2"/>
                <w:sz w:val="30"/>
                <w:szCs w:val="30"/>
                <w:lang w:val="en-US" w:eastAsia="zh-CN"/>
              </w:rPr>
            </w:pPr>
          </w:p>
        </w:tc>
        <w:tc>
          <w:tcPr>
            <w:tcW w:w="1276" w:type="dxa"/>
            <w:tcBorders>
              <w:top w:val="double" w:color="auto" w:sz="6" w:space="0"/>
              <w:bottom w:val="single" w:color="auto" w:sz="6" w:space="0"/>
            </w:tcBorders>
            <w:noWrap w:val="0"/>
            <w:vAlign w:val="center"/>
          </w:tcPr>
          <w:p w14:paraId="2A79285D">
            <w:pPr>
              <w:pStyle w:val="2"/>
              <w:keepNext/>
              <w:spacing w:after="0" w:line="440" w:lineRule="exact"/>
              <w:ind w:left="63" w:right="63"/>
              <w:rPr>
                <w:rFonts w:eastAsia="仿宋_GB2312"/>
                <w:color w:val="000000"/>
                <w:kern w:val="2"/>
                <w:sz w:val="30"/>
                <w:szCs w:val="30"/>
                <w:lang w:val="en-US" w:eastAsia="zh-CN"/>
              </w:rPr>
            </w:pPr>
          </w:p>
        </w:tc>
        <w:tc>
          <w:tcPr>
            <w:tcW w:w="1450" w:type="dxa"/>
            <w:tcBorders>
              <w:top w:val="double" w:color="auto" w:sz="6" w:space="0"/>
              <w:bottom w:val="single" w:color="auto" w:sz="6" w:space="0"/>
            </w:tcBorders>
            <w:noWrap w:val="0"/>
            <w:vAlign w:val="center"/>
          </w:tcPr>
          <w:p w14:paraId="4B3EF377">
            <w:pPr>
              <w:pStyle w:val="2"/>
              <w:keepNext/>
              <w:spacing w:after="0" w:line="440" w:lineRule="exact"/>
              <w:ind w:left="63" w:right="63"/>
              <w:rPr>
                <w:rFonts w:eastAsia="仿宋_GB2312"/>
                <w:color w:val="000000"/>
                <w:kern w:val="2"/>
                <w:sz w:val="30"/>
                <w:szCs w:val="30"/>
                <w:lang w:val="en-US" w:eastAsia="zh-CN"/>
              </w:rPr>
            </w:pPr>
          </w:p>
        </w:tc>
        <w:tc>
          <w:tcPr>
            <w:tcW w:w="1243" w:type="dxa"/>
            <w:tcBorders>
              <w:top w:val="double" w:color="auto" w:sz="6" w:space="0"/>
              <w:bottom w:val="single" w:color="auto" w:sz="6" w:space="0"/>
            </w:tcBorders>
            <w:noWrap w:val="0"/>
            <w:vAlign w:val="center"/>
          </w:tcPr>
          <w:p w14:paraId="57035AAC">
            <w:pPr>
              <w:pStyle w:val="2"/>
              <w:keepNext/>
              <w:spacing w:after="0" w:line="440" w:lineRule="exact"/>
              <w:ind w:left="63" w:right="63"/>
              <w:rPr>
                <w:rFonts w:eastAsia="仿宋_GB2312"/>
                <w:color w:val="000000"/>
                <w:kern w:val="2"/>
                <w:sz w:val="30"/>
                <w:szCs w:val="30"/>
                <w:lang w:val="en-US" w:eastAsia="zh-CN"/>
              </w:rPr>
            </w:pPr>
          </w:p>
        </w:tc>
        <w:tc>
          <w:tcPr>
            <w:tcW w:w="1450" w:type="dxa"/>
            <w:tcBorders>
              <w:top w:val="double" w:color="auto" w:sz="6" w:space="0"/>
              <w:bottom w:val="single" w:color="auto" w:sz="6" w:space="0"/>
            </w:tcBorders>
            <w:noWrap w:val="0"/>
            <w:vAlign w:val="center"/>
          </w:tcPr>
          <w:p w14:paraId="0F0A1467">
            <w:pPr>
              <w:pStyle w:val="2"/>
              <w:keepNext/>
              <w:spacing w:after="0" w:line="440" w:lineRule="exact"/>
              <w:ind w:left="63" w:right="63"/>
              <w:rPr>
                <w:rFonts w:eastAsia="仿宋_GB2312"/>
                <w:color w:val="000000"/>
                <w:kern w:val="2"/>
                <w:sz w:val="30"/>
                <w:szCs w:val="30"/>
                <w:lang w:val="en-US" w:eastAsia="zh-CN"/>
              </w:rPr>
            </w:pPr>
          </w:p>
        </w:tc>
        <w:tc>
          <w:tcPr>
            <w:tcW w:w="1667" w:type="dxa"/>
            <w:tcBorders>
              <w:top w:val="double" w:color="auto" w:sz="6" w:space="0"/>
              <w:bottom w:val="single" w:color="auto" w:sz="6" w:space="0"/>
            </w:tcBorders>
            <w:noWrap w:val="0"/>
            <w:vAlign w:val="center"/>
          </w:tcPr>
          <w:p w14:paraId="67FD42F4">
            <w:pPr>
              <w:pStyle w:val="2"/>
              <w:keepNext/>
              <w:spacing w:after="0" w:line="440" w:lineRule="exact"/>
              <w:ind w:left="63" w:right="63"/>
              <w:rPr>
                <w:rFonts w:eastAsia="仿宋_GB2312"/>
                <w:color w:val="000000"/>
                <w:kern w:val="2"/>
                <w:sz w:val="30"/>
                <w:szCs w:val="30"/>
                <w:lang w:val="en-US" w:eastAsia="zh-CN"/>
              </w:rPr>
            </w:pPr>
          </w:p>
        </w:tc>
      </w:tr>
      <w:tr w14:paraId="26D12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35DB441E">
            <w:pPr>
              <w:pStyle w:val="2"/>
              <w:keepNext/>
              <w:spacing w:after="0" w:line="440" w:lineRule="exact"/>
              <w:ind w:left="63" w:right="63"/>
              <w:rPr>
                <w:rFonts w:eastAsia="仿宋_GB2312"/>
                <w:color w:val="000000"/>
                <w:kern w:val="2"/>
                <w:sz w:val="30"/>
                <w:szCs w:val="30"/>
                <w:lang w:val="en-US" w:eastAsia="zh-CN"/>
              </w:rPr>
            </w:pPr>
          </w:p>
        </w:tc>
        <w:tc>
          <w:tcPr>
            <w:tcW w:w="1276" w:type="dxa"/>
            <w:tcBorders>
              <w:top w:val="nil"/>
            </w:tcBorders>
            <w:noWrap w:val="0"/>
            <w:vAlign w:val="center"/>
          </w:tcPr>
          <w:p w14:paraId="27D250A7">
            <w:pPr>
              <w:pStyle w:val="2"/>
              <w:keepNext/>
              <w:spacing w:after="0" w:line="440" w:lineRule="exact"/>
              <w:ind w:left="63" w:right="63"/>
              <w:rPr>
                <w:rFonts w:eastAsia="仿宋_GB2312"/>
                <w:color w:val="000000"/>
                <w:kern w:val="2"/>
                <w:sz w:val="30"/>
                <w:szCs w:val="30"/>
                <w:lang w:val="en-US" w:eastAsia="zh-CN"/>
              </w:rPr>
            </w:pPr>
          </w:p>
        </w:tc>
        <w:tc>
          <w:tcPr>
            <w:tcW w:w="1450" w:type="dxa"/>
            <w:tcBorders>
              <w:top w:val="nil"/>
            </w:tcBorders>
            <w:noWrap w:val="0"/>
            <w:vAlign w:val="center"/>
          </w:tcPr>
          <w:p w14:paraId="1C4CAE3F">
            <w:pPr>
              <w:pStyle w:val="2"/>
              <w:keepNext/>
              <w:spacing w:after="0" w:line="440" w:lineRule="exact"/>
              <w:ind w:left="63" w:right="63"/>
              <w:rPr>
                <w:rFonts w:eastAsia="仿宋_GB2312"/>
                <w:color w:val="000000"/>
                <w:kern w:val="2"/>
                <w:sz w:val="30"/>
                <w:szCs w:val="30"/>
                <w:lang w:val="en-US" w:eastAsia="zh-CN"/>
              </w:rPr>
            </w:pPr>
          </w:p>
        </w:tc>
        <w:tc>
          <w:tcPr>
            <w:tcW w:w="1243" w:type="dxa"/>
            <w:tcBorders>
              <w:top w:val="nil"/>
            </w:tcBorders>
            <w:noWrap w:val="0"/>
            <w:vAlign w:val="center"/>
          </w:tcPr>
          <w:p w14:paraId="3C1B037A">
            <w:pPr>
              <w:pStyle w:val="2"/>
              <w:keepNext/>
              <w:spacing w:after="0" w:line="440" w:lineRule="exact"/>
              <w:ind w:left="63" w:right="63"/>
              <w:rPr>
                <w:rFonts w:eastAsia="仿宋_GB2312"/>
                <w:color w:val="000000"/>
                <w:kern w:val="2"/>
                <w:sz w:val="30"/>
                <w:szCs w:val="30"/>
                <w:lang w:val="en-US" w:eastAsia="zh-CN"/>
              </w:rPr>
            </w:pPr>
          </w:p>
        </w:tc>
        <w:tc>
          <w:tcPr>
            <w:tcW w:w="1450" w:type="dxa"/>
            <w:tcBorders>
              <w:top w:val="nil"/>
            </w:tcBorders>
            <w:noWrap w:val="0"/>
            <w:vAlign w:val="center"/>
          </w:tcPr>
          <w:p w14:paraId="299FF3EC">
            <w:pPr>
              <w:pStyle w:val="2"/>
              <w:keepNext/>
              <w:spacing w:after="0" w:line="440" w:lineRule="exact"/>
              <w:ind w:left="63" w:right="63"/>
              <w:rPr>
                <w:rFonts w:eastAsia="仿宋_GB2312"/>
                <w:color w:val="000000"/>
                <w:kern w:val="2"/>
                <w:sz w:val="30"/>
                <w:szCs w:val="30"/>
                <w:lang w:val="en-US" w:eastAsia="zh-CN"/>
              </w:rPr>
            </w:pPr>
          </w:p>
        </w:tc>
        <w:tc>
          <w:tcPr>
            <w:tcW w:w="1667" w:type="dxa"/>
            <w:tcBorders>
              <w:top w:val="nil"/>
            </w:tcBorders>
            <w:noWrap w:val="0"/>
            <w:vAlign w:val="center"/>
          </w:tcPr>
          <w:p w14:paraId="69E4BDF8">
            <w:pPr>
              <w:pStyle w:val="2"/>
              <w:keepNext/>
              <w:spacing w:after="0" w:line="440" w:lineRule="exact"/>
              <w:ind w:left="63" w:right="63"/>
              <w:rPr>
                <w:rFonts w:eastAsia="仿宋_GB2312"/>
                <w:color w:val="000000"/>
                <w:kern w:val="2"/>
                <w:sz w:val="30"/>
                <w:szCs w:val="30"/>
                <w:lang w:val="en-US" w:eastAsia="zh-CN"/>
              </w:rPr>
            </w:pPr>
          </w:p>
        </w:tc>
      </w:tr>
      <w:tr w14:paraId="34F67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CE63EB6">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3F63064E">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59BBC3F7">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19CBA37F">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9EFFCC3">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5BBE0ACD">
            <w:pPr>
              <w:pStyle w:val="2"/>
              <w:keepNext/>
              <w:spacing w:after="0" w:line="440" w:lineRule="exact"/>
              <w:ind w:left="63" w:right="63"/>
              <w:rPr>
                <w:rFonts w:eastAsia="仿宋_GB2312"/>
                <w:color w:val="000000"/>
                <w:kern w:val="2"/>
                <w:sz w:val="30"/>
                <w:szCs w:val="30"/>
                <w:lang w:val="en-US" w:eastAsia="zh-CN"/>
              </w:rPr>
            </w:pPr>
          </w:p>
        </w:tc>
      </w:tr>
      <w:tr w14:paraId="03319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4BECEBC">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45695333">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014B9B2A">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0DEE0698">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D4C368B">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475FA609">
            <w:pPr>
              <w:pStyle w:val="2"/>
              <w:keepNext/>
              <w:spacing w:after="0" w:line="440" w:lineRule="exact"/>
              <w:ind w:left="63" w:right="63"/>
              <w:rPr>
                <w:rFonts w:eastAsia="仿宋_GB2312"/>
                <w:color w:val="000000"/>
                <w:kern w:val="2"/>
                <w:sz w:val="30"/>
                <w:szCs w:val="30"/>
                <w:lang w:val="en-US" w:eastAsia="zh-CN"/>
              </w:rPr>
            </w:pPr>
          </w:p>
        </w:tc>
      </w:tr>
      <w:tr w14:paraId="52705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426384A">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2B1734E2">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0B9E0331">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32307DA4">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19A5EC7D">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5FC9F04F">
            <w:pPr>
              <w:pStyle w:val="2"/>
              <w:keepNext/>
              <w:spacing w:after="0" w:line="440" w:lineRule="exact"/>
              <w:ind w:left="63" w:right="63"/>
              <w:rPr>
                <w:rFonts w:eastAsia="仿宋_GB2312"/>
                <w:color w:val="000000"/>
                <w:kern w:val="2"/>
                <w:sz w:val="30"/>
                <w:szCs w:val="30"/>
                <w:lang w:val="en-US" w:eastAsia="zh-CN"/>
              </w:rPr>
            </w:pPr>
          </w:p>
        </w:tc>
      </w:tr>
      <w:tr w14:paraId="06921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11F631F">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E8CAECB">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2C944EEF">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243F04DF">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25104EAE">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05D5C583">
            <w:pPr>
              <w:pStyle w:val="2"/>
              <w:keepNext/>
              <w:spacing w:after="0" w:line="440" w:lineRule="exact"/>
              <w:ind w:left="63" w:right="63"/>
              <w:rPr>
                <w:rFonts w:eastAsia="仿宋_GB2312"/>
                <w:color w:val="000000"/>
                <w:kern w:val="2"/>
                <w:sz w:val="30"/>
                <w:szCs w:val="30"/>
                <w:lang w:val="en-US" w:eastAsia="zh-CN"/>
              </w:rPr>
            </w:pPr>
          </w:p>
        </w:tc>
      </w:tr>
      <w:tr w14:paraId="55932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FADA27">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656A41D3">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59A9F995">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22879AFB">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2F1BC155">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3549AF10">
            <w:pPr>
              <w:pStyle w:val="2"/>
              <w:keepNext/>
              <w:spacing w:after="0" w:line="440" w:lineRule="exact"/>
              <w:ind w:left="63" w:right="63"/>
              <w:rPr>
                <w:rFonts w:eastAsia="仿宋_GB2312"/>
                <w:color w:val="000000"/>
                <w:kern w:val="2"/>
                <w:sz w:val="30"/>
                <w:szCs w:val="30"/>
                <w:lang w:val="en-US" w:eastAsia="zh-CN"/>
              </w:rPr>
            </w:pPr>
          </w:p>
        </w:tc>
      </w:tr>
      <w:tr w14:paraId="3505A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E326CC5">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98D279B">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12A358CE">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7C2EB076">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15EAE995">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7B043236">
            <w:pPr>
              <w:pStyle w:val="2"/>
              <w:keepNext/>
              <w:spacing w:after="0" w:line="440" w:lineRule="exact"/>
              <w:ind w:left="63" w:right="63"/>
              <w:rPr>
                <w:rFonts w:eastAsia="仿宋_GB2312"/>
                <w:color w:val="000000"/>
                <w:kern w:val="2"/>
                <w:sz w:val="30"/>
                <w:szCs w:val="30"/>
                <w:lang w:val="en-US" w:eastAsia="zh-CN"/>
              </w:rPr>
            </w:pPr>
          </w:p>
        </w:tc>
      </w:tr>
      <w:tr w14:paraId="6DA0A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2F901FD">
            <w:pPr>
              <w:rPr>
                <w:rFonts w:eastAsia="仿宋_GB2312"/>
                <w:color w:val="000000"/>
                <w:sz w:val="30"/>
                <w:szCs w:val="30"/>
              </w:rPr>
            </w:pPr>
          </w:p>
        </w:tc>
        <w:tc>
          <w:tcPr>
            <w:tcW w:w="1276" w:type="dxa"/>
            <w:noWrap w:val="0"/>
            <w:vAlign w:val="top"/>
          </w:tcPr>
          <w:p w14:paraId="1786841C">
            <w:pPr>
              <w:rPr>
                <w:rFonts w:eastAsia="仿宋_GB2312"/>
                <w:color w:val="000000"/>
                <w:sz w:val="30"/>
                <w:szCs w:val="30"/>
              </w:rPr>
            </w:pPr>
          </w:p>
        </w:tc>
        <w:tc>
          <w:tcPr>
            <w:tcW w:w="1450" w:type="dxa"/>
            <w:noWrap w:val="0"/>
            <w:vAlign w:val="top"/>
          </w:tcPr>
          <w:p w14:paraId="65758834">
            <w:pPr>
              <w:rPr>
                <w:rFonts w:eastAsia="仿宋_GB2312"/>
                <w:color w:val="000000"/>
                <w:sz w:val="30"/>
                <w:szCs w:val="30"/>
              </w:rPr>
            </w:pPr>
          </w:p>
        </w:tc>
        <w:tc>
          <w:tcPr>
            <w:tcW w:w="1243" w:type="dxa"/>
            <w:noWrap w:val="0"/>
            <w:vAlign w:val="top"/>
          </w:tcPr>
          <w:p w14:paraId="6569D0E9">
            <w:pPr>
              <w:rPr>
                <w:rFonts w:eastAsia="仿宋_GB2312"/>
                <w:color w:val="000000"/>
                <w:sz w:val="30"/>
                <w:szCs w:val="30"/>
              </w:rPr>
            </w:pPr>
          </w:p>
        </w:tc>
        <w:tc>
          <w:tcPr>
            <w:tcW w:w="1450" w:type="dxa"/>
            <w:noWrap w:val="0"/>
            <w:vAlign w:val="top"/>
          </w:tcPr>
          <w:p w14:paraId="32A34A2C">
            <w:pPr>
              <w:rPr>
                <w:rFonts w:eastAsia="仿宋_GB2312"/>
                <w:color w:val="000000"/>
                <w:sz w:val="30"/>
                <w:szCs w:val="30"/>
              </w:rPr>
            </w:pPr>
          </w:p>
        </w:tc>
        <w:tc>
          <w:tcPr>
            <w:tcW w:w="1667" w:type="dxa"/>
            <w:noWrap w:val="0"/>
            <w:vAlign w:val="top"/>
          </w:tcPr>
          <w:p w14:paraId="2FE188CD">
            <w:pPr>
              <w:rPr>
                <w:rFonts w:eastAsia="仿宋_GB2312"/>
                <w:color w:val="000000"/>
                <w:sz w:val="30"/>
                <w:szCs w:val="30"/>
              </w:rPr>
            </w:pPr>
          </w:p>
        </w:tc>
      </w:tr>
      <w:tr w14:paraId="1D5F9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A1FC6AA">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5CB3ACD7">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645492F4">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195E3D7F">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7FBB614E">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1037AC41">
            <w:pPr>
              <w:pStyle w:val="2"/>
              <w:keepNext/>
              <w:spacing w:after="0" w:line="440" w:lineRule="exact"/>
              <w:ind w:left="63" w:right="63"/>
              <w:rPr>
                <w:rFonts w:eastAsia="仿宋_GB2312"/>
                <w:color w:val="000000"/>
                <w:kern w:val="2"/>
                <w:sz w:val="30"/>
                <w:szCs w:val="30"/>
                <w:lang w:val="en-US" w:eastAsia="zh-CN"/>
              </w:rPr>
            </w:pPr>
          </w:p>
        </w:tc>
      </w:tr>
      <w:tr w14:paraId="329DA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52571B">
            <w:pPr>
              <w:rPr>
                <w:rFonts w:eastAsia="仿宋_GB2312"/>
                <w:color w:val="000000"/>
                <w:sz w:val="30"/>
                <w:szCs w:val="30"/>
              </w:rPr>
            </w:pPr>
          </w:p>
        </w:tc>
        <w:tc>
          <w:tcPr>
            <w:tcW w:w="1276" w:type="dxa"/>
            <w:noWrap w:val="0"/>
            <w:vAlign w:val="top"/>
          </w:tcPr>
          <w:p w14:paraId="14D55E0C">
            <w:pPr>
              <w:rPr>
                <w:rFonts w:eastAsia="仿宋_GB2312"/>
                <w:color w:val="000000"/>
                <w:sz w:val="30"/>
                <w:szCs w:val="30"/>
              </w:rPr>
            </w:pPr>
          </w:p>
        </w:tc>
        <w:tc>
          <w:tcPr>
            <w:tcW w:w="1450" w:type="dxa"/>
            <w:noWrap w:val="0"/>
            <w:vAlign w:val="top"/>
          </w:tcPr>
          <w:p w14:paraId="5A278D00">
            <w:pPr>
              <w:rPr>
                <w:rFonts w:eastAsia="仿宋_GB2312"/>
                <w:color w:val="000000"/>
                <w:sz w:val="30"/>
                <w:szCs w:val="30"/>
              </w:rPr>
            </w:pPr>
          </w:p>
        </w:tc>
        <w:tc>
          <w:tcPr>
            <w:tcW w:w="1243" w:type="dxa"/>
            <w:noWrap w:val="0"/>
            <w:vAlign w:val="top"/>
          </w:tcPr>
          <w:p w14:paraId="403EAD1F">
            <w:pPr>
              <w:rPr>
                <w:rFonts w:eastAsia="仿宋_GB2312"/>
                <w:color w:val="000000"/>
                <w:sz w:val="30"/>
                <w:szCs w:val="30"/>
              </w:rPr>
            </w:pPr>
          </w:p>
        </w:tc>
        <w:tc>
          <w:tcPr>
            <w:tcW w:w="1450" w:type="dxa"/>
            <w:noWrap w:val="0"/>
            <w:vAlign w:val="top"/>
          </w:tcPr>
          <w:p w14:paraId="5C732CB3">
            <w:pPr>
              <w:rPr>
                <w:rFonts w:eastAsia="仿宋_GB2312"/>
                <w:color w:val="000000"/>
                <w:sz w:val="30"/>
                <w:szCs w:val="30"/>
              </w:rPr>
            </w:pPr>
          </w:p>
        </w:tc>
        <w:tc>
          <w:tcPr>
            <w:tcW w:w="1667" w:type="dxa"/>
            <w:noWrap w:val="0"/>
            <w:vAlign w:val="top"/>
          </w:tcPr>
          <w:p w14:paraId="410455E9">
            <w:pPr>
              <w:rPr>
                <w:rFonts w:eastAsia="仿宋_GB2312"/>
                <w:color w:val="000000"/>
                <w:sz w:val="30"/>
                <w:szCs w:val="30"/>
              </w:rPr>
            </w:pPr>
          </w:p>
        </w:tc>
      </w:tr>
      <w:tr w14:paraId="5C35B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9596263">
            <w:pPr>
              <w:rPr>
                <w:rFonts w:eastAsia="仿宋_GB2312"/>
                <w:color w:val="000000"/>
                <w:sz w:val="30"/>
                <w:szCs w:val="30"/>
              </w:rPr>
            </w:pPr>
          </w:p>
        </w:tc>
        <w:tc>
          <w:tcPr>
            <w:tcW w:w="1276" w:type="dxa"/>
            <w:noWrap w:val="0"/>
            <w:vAlign w:val="top"/>
          </w:tcPr>
          <w:p w14:paraId="3F1C283B">
            <w:pPr>
              <w:rPr>
                <w:rFonts w:eastAsia="仿宋_GB2312"/>
                <w:color w:val="000000"/>
                <w:sz w:val="30"/>
                <w:szCs w:val="30"/>
              </w:rPr>
            </w:pPr>
          </w:p>
        </w:tc>
        <w:tc>
          <w:tcPr>
            <w:tcW w:w="1450" w:type="dxa"/>
            <w:noWrap w:val="0"/>
            <w:vAlign w:val="top"/>
          </w:tcPr>
          <w:p w14:paraId="72CBFE84">
            <w:pPr>
              <w:rPr>
                <w:rFonts w:eastAsia="仿宋_GB2312"/>
                <w:color w:val="000000"/>
                <w:sz w:val="30"/>
                <w:szCs w:val="30"/>
              </w:rPr>
            </w:pPr>
          </w:p>
        </w:tc>
        <w:tc>
          <w:tcPr>
            <w:tcW w:w="1243" w:type="dxa"/>
            <w:noWrap w:val="0"/>
            <w:vAlign w:val="top"/>
          </w:tcPr>
          <w:p w14:paraId="7DF3CBA5">
            <w:pPr>
              <w:rPr>
                <w:rFonts w:eastAsia="仿宋_GB2312"/>
                <w:color w:val="000000"/>
                <w:sz w:val="30"/>
                <w:szCs w:val="30"/>
              </w:rPr>
            </w:pPr>
          </w:p>
        </w:tc>
        <w:tc>
          <w:tcPr>
            <w:tcW w:w="1450" w:type="dxa"/>
            <w:noWrap w:val="0"/>
            <w:vAlign w:val="top"/>
          </w:tcPr>
          <w:p w14:paraId="6D5B22AE">
            <w:pPr>
              <w:rPr>
                <w:rFonts w:eastAsia="仿宋_GB2312"/>
                <w:color w:val="000000"/>
                <w:sz w:val="30"/>
                <w:szCs w:val="30"/>
              </w:rPr>
            </w:pPr>
          </w:p>
        </w:tc>
        <w:tc>
          <w:tcPr>
            <w:tcW w:w="1667" w:type="dxa"/>
            <w:noWrap w:val="0"/>
            <w:vAlign w:val="top"/>
          </w:tcPr>
          <w:p w14:paraId="4BB186FB">
            <w:pPr>
              <w:rPr>
                <w:rFonts w:eastAsia="仿宋_GB2312"/>
                <w:color w:val="000000"/>
                <w:sz w:val="30"/>
                <w:szCs w:val="30"/>
              </w:rPr>
            </w:pPr>
          </w:p>
        </w:tc>
      </w:tr>
      <w:tr w14:paraId="60C8D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65DCAB9">
            <w:pPr>
              <w:rPr>
                <w:rFonts w:eastAsia="仿宋_GB2312"/>
                <w:color w:val="000000"/>
                <w:sz w:val="30"/>
                <w:szCs w:val="30"/>
              </w:rPr>
            </w:pPr>
          </w:p>
        </w:tc>
        <w:tc>
          <w:tcPr>
            <w:tcW w:w="1276" w:type="dxa"/>
            <w:noWrap w:val="0"/>
            <w:vAlign w:val="top"/>
          </w:tcPr>
          <w:p w14:paraId="4D8DEF4F">
            <w:pPr>
              <w:rPr>
                <w:rFonts w:eastAsia="仿宋_GB2312"/>
                <w:color w:val="000000"/>
                <w:sz w:val="30"/>
                <w:szCs w:val="30"/>
              </w:rPr>
            </w:pPr>
          </w:p>
        </w:tc>
        <w:tc>
          <w:tcPr>
            <w:tcW w:w="1450" w:type="dxa"/>
            <w:noWrap w:val="0"/>
            <w:vAlign w:val="top"/>
          </w:tcPr>
          <w:p w14:paraId="654D7CDA">
            <w:pPr>
              <w:rPr>
                <w:rFonts w:eastAsia="仿宋_GB2312"/>
                <w:color w:val="000000"/>
                <w:sz w:val="30"/>
                <w:szCs w:val="30"/>
              </w:rPr>
            </w:pPr>
          </w:p>
        </w:tc>
        <w:tc>
          <w:tcPr>
            <w:tcW w:w="1243" w:type="dxa"/>
            <w:noWrap w:val="0"/>
            <w:vAlign w:val="top"/>
          </w:tcPr>
          <w:p w14:paraId="1C41DC7C">
            <w:pPr>
              <w:rPr>
                <w:rFonts w:eastAsia="仿宋_GB2312"/>
                <w:color w:val="000000"/>
                <w:sz w:val="30"/>
                <w:szCs w:val="30"/>
              </w:rPr>
            </w:pPr>
          </w:p>
        </w:tc>
        <w:tc>
          <w:tcPr>
            <w:tcW w:w="1450" w:type="dxa"/>
            <w:noWrap w:val="0"/>
            <w:vAlign w:val="top"/>
          </w:tcPr>
          <w:p w14:paraId="37B31053">
            <w:pPr>
              <w:rPr>
                <w:rFonts w:eastAsia="仿宋_GB2312"/>
                <w:color w:val="000000"/>
                <w:sz w:val="30"/>
                <w:szCs w:val="30"/>
              </w:rPr>
            </w:pPr>
          </w:p>
        </w:tc>
        <w:tc>
          <w:tcPr>
            <w:tcW w:w="1667" w:type="dxa"/>
            <w:noWrap w:val="0"/>
            <w:vAlign w:val="top"/>
          </w:tcPr>
          <w:p w14:paraId="0CA2C64B">
            <w:pPr>
              <w:rPr>
                <w:rFonts w:eastAsia="仿宋_GB2312"/>
                <w:color w:val="000000"/>
                <w:sz w:val="30"/>
                <w:szCs w:val="30"/>
              </w:rPr>
            </w:pPr>
          </w:p>
        </w:tc>
      </w:tr>
      <w:tr w14:paraId="4F40D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50EF4BC">
            <w:pPr>
              <w:rPr>
                <w:rFonts w:eastAsia="仿宋_GB2312"/>
                <w:color w:val="000000"/>
                <w:sz w:val="30"/>
                <w:szCs w:val="30"/>
              </w:rPr>
            </w:pPr>
          </w:p>
        </w:tc>
        <w:tc>
          <w:tcPr>
            <w:tcW w:w="1276" w:type="dxa"/>
            <w:noWrap w:val="0"/>
            <w:vAlign w:val="top"/>
          </w:tcPr>
          <w:p w14:paraId="73B0CC44">
            <w:pPr>
              <w:rPr>
                <w:rFonts w:eastAsia="仿宋_GB2312"/>
                <w:color w:val="000000"/>
                <w:sz w:val="30"/>
                <w:szCs w:val="30"/>
              </w:rPr>
            </w:pPr>
          </w:p>
        </w:tc>
        <w:tc>
          <w:tcPr>
            <w:tcW w:w="1450" w:type="dxa"/>
            <w:noWrap w:val="0"/>
            <w:vAlign w:val="top"/>
          </w:tcPr>
          <w:p w14:paraId="2C8BC43D">
            <w:pPr>
              <w:rPr>
                <w:rFonts w:eastAsia="仿宋_GB2312"/>
                <w:color w:val="000000"/>
                <w:sz w:val="30"/>
                <w:szCs w:val="30"/>
              </w:rPr>
            </w:pPr>
          </w:p>
        </w:tc>
        <w:tc>
          <w:tcPr>
            <w:tcW w:w="1243" w:type="dxa"/>
            <w:noWrap w:val="0"/>
            <w:vAlign w:val="top"/>
          </w:tcPr>
          <w:p w14:paraId="5EEAF890">
            <w:pPr>
              <w:rPr>
                <w:rFonts w:eastAsia="仿宋_GB2312"/>
                <w:color w:val="000000"/>
                <w:sz w:val="30"/>
                <w:szCs w:val="30"/>
              </w:rPr>
            </w:pPr>
          </w:p>
        </w:tc>
        <w:tc>
          <w:tcPr>
            <w:tcW w:w="1450" w:type="dxa"/>
            <w:noWrap w:val="0"/>
            <w:vAlign w:val="top"/>
          </w:tcPr>
          <w:p w14:paraId="52929008">
            <w:pPr>
              <w:rPr>
                <w:rFonts w:eastAsia="仿宋_GB2312"/>
                <w:color w:val="000000"/>
                <w:sz w:val="30"/>
                <w:szCs w:val="30"/>
              </w:rPr>
            </w:pPr>
          </w:p>
        </w:tc>
        <w:tc>
          <w:tcPr>
            <w:tcW w:w="1667" w:type="dxa"/>
            <w:noWrap w:val="0"/>
            <w:vAlign w:val="top"/>
          </w:tcPr>
          <w:p w14:paraId="6091C329">
            <w:pPr>
              <w:rPr>
                <w:rFonts w:eastAsia="仿宋_GB2312"/>
                <w:color w:val="000000"/>
                <w:sz w:val="30"/>
                <w:szCs w:val="30"/>
              </w:rPr>
            </w:pPr>
          </w:p>
        </w:tc>
      </w:tr>
      <w:tr w14:paraId="4F5B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2BBB31B">
            <w:pPr>
              <w:rPr>
                <w:rFonts w:eastAsia="仿宋_GB2312"/>
                <w:color w:val="000000"/>
                <w:sz w:val="30"/>
                <w:szCs w:val="30"/>
              </w:rPr>
            </w:pPr>
          </w:p>
        </w:tc>
        <w:tc>
          <w:tcPr>
            <w:tcW w:w="1276" w:type="dxa"/>
            <w:noWrap w:val="0"/>
            <w:vAlign w:val="top"/>
          </w:tcPr>
          <w:p w14:paraId="3A7ECAC4">
            <w:pPr>
              <w:rPr>
                <w:rFonts w:eastAsia="仿宋_GB2312"/>
                <w:color w:val="000000"/>
                <w:sz w:val="30"/>
                <w:szCs w:val="30"/>
              </w:rPr>
            </w:pPr>
          </w:p>
        </w:tc>
        <w:tc>
          <w:tcPr>
            <w:tcW w:w="1450" w:type="dxa"/>
            <w:noWrap w:val="0"/>
            <w:vAlign w:val="top"/>
          </w:tcPr>
          <w:p w14:paraId="49E7A25D">
            <w:pPr>
              <w:rPr>
                <w:rFonts w:eastAsia="仿宋_GB2312"/>
                <w:color w:val="000000"/>
                <w:sz w:val="30"/>
                <w:szCs w:val="30"/>
              </w:rPr>
            </w:pPr>
          </w:p>
        </w:tc>
        <w:tc>
          <w:tcPr>
            <w:tcW w:w="1243" w:type="dxa"/>
            <w:noWrap w:val="0"/>
            <w:vAlign w:val="top"/>
          </w:tcPr>
          <w:p w14:paraId="65778A74">
            <w:pPr>
              <w:rPr>
                <w:rFonts w:eastAsia="仿宋_GB2312"/>
                <w:color w:val="000000"/>
                <w:sz w:val="30"/>
                <w:szCs w:val="30"/>
              </w:rPr>
            </w:pPr>
          </w:p>
        </w:tc>
        <w:tc>
          <w:tcPr>
            <w:tcW w:w="1450" w:type="dxa"/>
            <w:noWrap w:val="0"/>
            <w:vAlign w:val="top"/>
          </w:tcPr>
          <w:p w14:paraId="42F25A75">
            <w:pPr>
              <w:rPr>
                <w:rFonts w:eastAsia="仿宋_GB2312"/>
                <w:color w:val="000000"/>
                <w:sz w:val="30"/>
                <w:szCs w:val="30"/>
              </w:rPr>
            </w:pPr>
          </w:p>
        </w:tc>
        <w:tc>
          <w:tcPr>
            <w:tcW w:w="1667" w:type="dxa"/>
            <w:noWrap w:val="0"/>
            <w:vAlign w:val="top"/>
          </w:tcPr>
          <w:p w14:paraId="7665B570">
            <w:pPr>
              <w:rPr>
                <w:rFonts w:eastAsia="仿宋_GB2312"/>
                <w:color w:val="000000"/>
                <w:sz w:val="30"/>
                <w:szCs w:val="30"/>
              </w:rPr>
            </w:pPr>
          </w:p>
        </w:tc>
      </w:tr>
      <w:tr w14:paraId="29F12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F427DD">
            <w:pPr>
              <w:rPr>
                <w:rFonts w:eastAsia="仿宋_GB2312"/>
                <w:color w:val="000000"/>
                <w:sz w:val="30"/>
                <w:szCs w:val="30"/>
              </w:rPr>
            </w:pPr>
          </w:p>
        </w:tc>
        <w:tc>
          <w:tcPr>
            <w:tcW w:w="1276" w:type="dxa"/>
            <w:noWrap w:val="0"/>
            <w:vAlign w:val="top"/>
          </w:tcPr>
          <w:p w14:paraId="3D336251">
            <w:pPr>
              <w:rPr>
                <w:rFonts w:eastAsia="仿宋_GB2312"/>
                <w:color w:val="000000"/>
                <w:sz w:val="30"/>
                <w:szCs w:val="30"/>
              </w:rPr>
            </w:pPr>
          </w:p>
        </w:tc>
        <w:tc>
          <w:tcPr>
            <w:tcW w:w="1450" w:type="dxa"/>
            <w:noWrap w:val="0"/>
            <w:vAlign w:val="top"/>
          </w:tcPr>
          <w:p w14:paraId="4688C43E">
            <w:pPr>
              <w:rPr>
                <w:rFonts w:eastAsia="仿宋_GB2312"/>
                <w:color w:val="000000"/>
                <w:sz w:val="30"/>
                <w:szCs w:val="30"/>
              </w:rPr>
            </w:pPr>
          </w:p>
        </w:tc>
        <w:tc>
          <w:tcPr>
            <w:tcW w:w="1243" w:type="dxa"/>
            <w:noWrap w:val="0"/>
            <w:vAlign w:val="top"/>
          </w:tcPr>
          <w:p w14:paraId="00A5F857">
            <w:pPr>
              <w:rPr>
                <w:rFonts w:eastAsia="仿宋_GB2312"/>
                <w:color w:val="000000"/>
                <w:sz w:val="30"/>
                <w:szCs w:val="30"/>
              </w:rPr>
            </w:pPr>
          </w:p>
        </w:tc>
        <w:tc>
          <w:tcPr>
            <w:tcW w:w="1450" w:type="dxa"/>
            <w:noWrap w:val="0"/>
            <w:vAlign w:val="top"/>
          </w:tcPr>
          <w:p w14:paraId="66E3455C">
            <w:pPr>
              <w:rPr>
                <w:rFonts w:eastAsia="仿宋_GB2312"/>
                <w:color w:val="000000"/>
                <w:sz w:val="30"/>
                <w:szCs w:val="30"/>
              </w:rPr>
            </w:pPr>
          </w:p>
        </w:tc>
        <w:tc>
          <w:tcPr>
            <w:tcW w:w="1667" w:type="dxa"/>
            <w:noWrap w:val="0"/>
            <w:vAlign w:val="top"/>
          </w:tcPr>
          <w:p w14:paraId="2C15AE7E">
            <w:pPr>
              <w:rPr>
                <w:rFonts w:eastAsia="仿宋_GB2312"/>
                <w:color w:val="000000"/>
                <w:sz w:val="30"/>
                <w:szCs w:val="30"/>
              </w:rPr>
            </w:pPr>
          </w:p>
        </w:tc>
      </w:tr>
    </w:tbl>
    <w:p w14:paraId="0B836A2A">
      <w:pPr>
        <w:spacing w:line="440" w:lineRule="exact"/>
        <w:rPr>
          <w:rFonts w:hint="eastAsia" w:ascii="Times New Roman" w:hAnsi="Times New Roman" w:eastAsia="仿宋_GB2312"/>
          <w:color w:val="000000"/>
          <w:sz w:val="30"/>
          <w:szCs w:val="30"/>
        </w:rPr>
      </w:pPr>
    </w:p>
    <w:p w14:paraId="6B6470C5">
      <w:pPr>
        <w:spacing w:line="440" w:lineRule="exact"/>
        <w:rPr>
          <w:rFonts w:ascii="Times New Roman" w:hAnsi="Times New Roman" w:eastAsia="仿宋_GB2312"/>
          <w:color w:val="000000"/>
          <w:sz w:val="30"/>
          <w:szCs w:val="30"/>
        </w:rPr>
      </w:pPr>
    </w:p>
    <w:p w14:paraId="43F03379">
      <w:pPr>
        <w:spacing w:line="440" w:lineRule="exact"/>
        <w:rPr>
          <w:rFonts w:ascii="Times New Roman" w:hAnsi="Times New Roman" w:eastAsia="仿宋_GB2312"/>
          <w:color w:val="000000"/>
          <w:sz w:val="30"/>
          <w:szCs w:val="30"/>
        </w:rPr>
      </w:pPr>
    </w:p>
    <w:p w14:paraId="7FF38160">
      <w:pPr>
        <w:spacing w:line="440" w:lineRule="exact"/>
        <w:rPr>
          <w:rFonts w:ascii="Times New Roman" w:hAnsi="Times New Roman" w:eastAsia="仿宋_GB2312"/>
          <w:color w:val="000000"/>
          <w:sz w:val="30"/>
          <w:szCs w:val="30"/>
        </w:rPr>
      </w:pPr>
    </w:p>
    <w:p w14:paraId="7672B6C7">
      <w:pPr>
        <w:spacing w:line="440" w:lineRule="exact"/>
        <w:rPr>
          <w:rFonts w:ascii="Times New Roman" w:hAnsi="Times New Roman" w:eastAsia="仿宋_GB2312"/>
          <w:color w:val="000000"/>
          <w:sz w:val="30"/>
          <w:szCs w:val="30"/>
        </w:rPr>
      </w:pPr>
    </w:p>
    <w:p w14:paraId="78DFEF28">
      <w:pPr>
        <w:spacing w:line="440" w:lineRule="exact"/>
        <w:rPr>
          <w:rFonts w:ascii="Times New Roman" w:hAnsi="Times New Roman" w:eastAsia="仿宋_GB2312"/>
          <w:color w:val="000000"/>
          <w:sz w:val="30"/>
          <w:szCs w:val="30"/>
        </w:rPr>
      </w:pPr>
    </w:p>
    <w:p w14:paraId="38CCB957">
      <w:pPr>
        <w:spacing w:line="440" w:lineRule="exact"/>
        <w:rPr>
          <w:rFonts w:ascii="Times New Roman" w:hAnsi="Times New Roman" w:eastAsia="仿宋_GB2312"/>
          <w:color w:val="000000"/>
          <w:sz w:val="30"/>
          <w:szCs w:val="30"/>
        </w:rPr>
      </w:pPr>
    </w:p>
    <w:p w14:paraId="5B1489BD">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60" w:name="_Toc296346728"/>
      <w:bookmarkStart w:id="961" w:name="_Toc267261698"/>
      <w:bookmarkStart w:id="962" w:name="_Toc296347226"/>
      <w:bookmarkStart w:id="963" w:name="_Toc296891055"/>
      <w:bookmarkStart w:id="964" w:name="_Toc296944566"/>
      <w:bookmarkStart w:id="965" w:name="_Toc296891267"/>
      <w:bookmarkStart w:id="966" w:name="_Toc296503227"/>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8</w:t>
      </w:r>
      <w:r>
        <w:rPr>
          <w:rFonts w:ascii="Times New Roman" w:hAnsi="Times New Roman" w:eastAsia="仿宋_GB2312"/>
          <w:color w:val="000000"/>
          <w:sz w:val="30"/>
          <w:szCs w:val="30"/>
        </w:rPr>
        <w:t>：</w:t>
      </w:r>
    </w:p>
    <w:bookmarkEnd w:id="960"/>
    <w:bookmarkEnd w:id="961"/>
    <w:bookmarkEnd w:id="962"/>
    <w:bookmarkEnd w:id="963"/>
    <w:bookmarkEnd w:id="964"/>
    <w:bookmarkEnd w:id="965"/>
    <w:bookmarkEnd w:id="966"/>
    <w:p w14:paraId="47EC98C9">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承包人用于本工程施工的机械设备表</w:t>
      </w:r>
    </w:p>
    <w:tbl>
      <w:tblPr>
        <w:tblStyle w:val="5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CD81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371404F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418" w:type="dxa"/>
            <w:tcBorders>
              <w:top w:val="single" w:color="auto" w:sz="12" w:space="0"/>
              <w:bottom w:val="double" w:color="auto" w:sz="6" w:space="0"/>
            </w:tcBorders>
            <w:noWrap w:val="0"/>
            <w:vAlign w:val="center"/>
          </w:tcPr>
          <w:p w14:paraId="796494D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机械或设备名称</w:t>
            </w:r>
          </w:p>
        </w:tc>
        <w:tc>
          <w:tcPr>
            <w:tcW w:w="850" w:type="dxa"/>
            <w:tcBorders>
              <w:top w:val="single" w:color="auto" w:sz="12" w:space="0"/>
              <w:bottom w:val="double" w:color="auto" w:sz="6" w:space="0"/>
            </w:tcBorders>
            <w:noWrap w:val="0"/>
            <w:vAlign w:val="center"/>
          </w:tcPr>
          <w:p w14:paraId="6D0F402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规格型号</w:t>
            </w:r>
          </w:p>
        </w:tc>
        <w:tc>
          <w:tcPr>
            <w:tcW w:w="1058" w:type="dxa"/>
            <w:tcBorders>
              <w:top w:val="single" w:color="auto" w:sz="12" w:space="0"/>
              <w:bottom w:val="double" w:color="auto" w:sz="6" w:space="0"/>
            </w:tcBorders>
            <w:noWrap w:val="0"/>
            <w:vAlign w:val="center"/>
          </w:tcPr>
          <w:p w14:paraId="2B8A21C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880" w:type="dxa"/>
            <w:tcBorders>
              <w:top w:val="single" w:color="auto" w:sz="12" w:space="0"/>
              <w:bottom w:val="double" w:color="auto" w:sz="6" w:space="0"/>
            </w:tcBorders>
            <w:noWrap w:val="0"/>
            <w:vAlign w:val="center"/>
          </w:tcPr>
          <w:p w14:paraId="522406E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产地</w:t>
            </w:r>
          </w:p>
        </w:tc>
        <w:tc>
          <w:tcPr>
            <w:tcW w:w="1020" w:type="dxa"/>
            <w:tcBorders>
              <w:top w:val="single" w:color="auto" w:sz="12" w:space="0"/>
              <w:bottom w:val="double" w:color="auto" w:sz="6" w:space="0"/>
            </w:tcBorders>
            <w:noWrap w:val="0"/>
            <w:vAlign w:val="center"/>
          </w:tcPr>
          <w:p w14:paraId="614A5A9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制造年份</w:t>
            </w:r>
          </w:p>
        </w:tc>
        <w:tc>
          <w:tcPr>
            <w:tcW w:w="1480" w:type="dxa"/>
            <w:tcBorders>
              <w:top w:val="single" w:color="auto" w:sz="12" w:space="0"/>
              <w:bottom w:val="double" w:color="auto" w:sz="6" w:space="0"/>
            </w:tcBorders>
            <w:noWrap w:val="0"/>
            <w:vAlign w:val="center"/>
          </w:tcPr>
          <w:p w14:paraId="35DE0B69">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额定功率(kW)</w:t>
            </w:r>
          </w:p>
        </w:tc>
        <w:tc>
          <w:tcPr>
            <w:tcW w:w="1020" w:type="dxa"/>
            <w:tcBorders>
              <w:top w:val="single" w:color="auto" w:sz="12" w:space="0"/>
              <w:bottom w:val="double" w:color="auto" w:sz="6" w:space="0"/>
            </w:tcBorders>
            <w:noWrap w:val="0"/>
            <w:vAlign w:val="center"/>
          </w:tcPr>
          <w:p w14:paraId="6D279CD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生产能力</w:t>
            </w:r>
          </w:p>
        </w:tc>
        <w:tc>
          <w:tcPr>
            <w:tcW w:w="921" w:type="dxa"/>
            <w:tcBorders>
              <w:top w:val="single" w:color="auto" w:sz="12" w:space="0"/>
              <w:bottom w:val="double" w:color="auto" w:sz="6" w:space="0"/>
            </w:tcBorders>
            <w:noWrap w:val="0"/>
            <w:vAlign w:val="center"/>
          </w:tcPr>
          <w:p w14:paraId="339134F9">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04095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3BA06D9A">
            <w:pPr>
              <w:pStyle w:val="2"/>
              <w:keepNext/>
              <w:spacing w:after="0" w:line="440" w:lineRule="exact"/>
              <w:ind w:left="63" w:right="63"/>
              <w:rPr>
                <w:rFonts w:eastAsia="仿宋_GB2312"/>
                <w:color w:val="000000"/>
                <w:kern w:val="2"/>
                <w:sz w:val="30"/>
                <w:szCs w:val="30"/>
                <w:lang w:val="en-US" w:eastAsia="zh-CN"/>
              </w:rPr>
            </w:pPr>
          </w:p>
        </w:tc>
        <w:tc>
          <w:tcPr>
            <w:tcW w:w="1418" w:type="dxa"/>
            <w:tcBorders>
              <w:top w:val="double" w:color="auto" w:sz="6" w:space="0"/>
              <w:bottom w:val="single" w:color="auto" w:sz="6" w:space="0"/>
            </w:tcBorders>
            <w:noWrap w:val="0"/>
            <w:vAlign w:val="center"/>
          </w:tcPr>
          <w:p w14:paraId="44C2E62B">
            <w:pPr>
              <w:pStyle w:val="2"/>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18DAEC53">
            <w:pPr>
              <w:pStyle w:val="2"/>
              <w:keepNext/>
              <w:spacing w:after="0" w:line="440" w:lineRule="exact"/>
              <w:ind w:left="63" w:right="63"/>
              <w:rPr>
                <w:rFonts w:eastAsia="仿宋_GB2312"/>
                <w:color w:val="000000"/>
                <w:kern w:val="2"/>
                <w:sz w:val="30"/>
                <w:szCs w:val="30"/>
                <w:lang w:val="en-US" w:eastAsia="zh-CN"/>
              </w:rPr>
            </w:pPr>
          </w:p>
        </w:tc>
        <w:tc>
          <w:tcPr>
            <w:tcW w:w="1058" w:type="dxa"/>
            <w:tcBorders>
              <w:top w:val="double" w:color="auto" w:sz="6" w:space="0"/>
              <w:bottom w:val="single" w:color="auto" w:sz="6" w:space="0"/>
            </w:tcBorders>
            <w:noWrap w:val="0"/>
            <w:vAlign w:val="center"/>
          </w:tcPr>
          <w:p w14:paraId="1BB17809">
            <w:pPr>
              <w:pStyle w:val="2"/>
              <w:keepNext/>
              <w:spacing w:after="0" w:line="440" w:lineRule="exact"/>
              <w:ind w:left="63" w:right="63"/>
              <w:rPr>
                <w:rFonts w:eastAsia="仿宋_GB2312"/>
                <w:color w:val="000000"/>
                <w:kern w:val="2"/>
                <w:sz w:val="30"/>
                <w:szCs w:val="30"/>
                <w:lang w:val="en-US" w:eastAsia="zh-CN"/>
              </w:rPr>
            </w:pPr>
          </w:p>
        </w:tc>
        <w:tc>
          <w:tcPr>
            <w:tcW w:w="880" w:type="dxa"/>
            <w:tcBorders>
              <w:top w:val="double" w:color="auto" w:sz="6" w:space="0"/>
              <w:bottom w:val="single" w:color="auto" w:sz="6" w:space="0"/>
            </w:tcBorders>
            <w:noWrap w:val="0"/>
            <w:vAlign w:val="center"/>
          </w:tcPr>
          <w:p w14:paraId="1BC7E5D0">
            <w:pPr>
              <w:pStyle w:val="2"/>
              <w:keepNext/>
              <w:spacing w:after="0" w:line="440" w:lineRule="exact"/>
              <w:ind w:left="63" w:right="63"/>
              <w:rPr>
                <w:rFonts w:eastAsia="仿宋_GB2312"/>
                <w:color w:val="000000"/>
                <w:kern w:val="2"/>
                <w:sz w:val="30"/>
                <w:szCs w:val="30"/>
                <w:lang w:val="en-US" w:eastAsia="zh-CN"/>
              </w:rPr>
            </w:pPr>
          </w:p>
        </w:tc>
        <w:tc>
          <w:tcPr>
            <w:tcW w:w="1020" w:type="dxa"/>
            <w:tcBorders>
              <w:top w:val="double" w:color="auto" w:sz="6" w:space="0"/>
              <w:bottom w:val="single" w:color="auto" w:sz="6" w:space="0"/>
            </w:tcBorders>
            <w:noWrap w:val="0"/>
            <w:vAlign w:val="center"/>
          </w:tcPr>
          <w:p w14:paraId="0CBF8086">
            <w:pPr>
              <w:pStyle w:val="2"/>
              <w:keepNext/>
              <w:spacing w:after="0" w:line="440" w:lineRule="exact"/>
              <w:ind w:left="63" w:right="63"/>
              <w:rPr>
                <w:rFonts w:eastAsia="仿宋_GB2312"/>
                <w:color w:val="000000"/>
                <w:kern w:val="2"/>
                <w:sz w:val="30"/>
                <w:szCs w:val="30"/>
                <w:lang w:val="en-US" w:eastAsia="zh-CN"/>
              </w:rPr>
            </w:pPr>
          </w:p>
        </w:tc>
        <w:tc>
          <w:tcPr>
            <w:tcW w:w="1480" w:type="dxa"/>
            <w:tcBorders>
              <w:top w:val="double" w:color="auto" w:sz="6" w:space="0"/>
              <w:bottom w:val="single" w:color="auto" w:sz="6" w:space="0"/>
            </w:tcBorders>
            <w:noWrap w:val="0"/>
            <w:vAlign w:val="center"/>
          </w:tcPr>
          <w:p w14:paraId="1909484E">
            <w:pPr>
              <w:pStyle w:val="2"/>
              <w:keepNext/>
              <w:spacing w:after="0" w:line="440" w:lineRule="exact"/>
              <w:ind w:left="63" w:right="63"/>
              <w:rPr>
                <w:rFonts w:eastAsia="仿宋_GB2312"/>
                <w:color w:val="000000"/>
                <w:kern w:val="2"/>
                <w:sz w:val="30"/>
                <w:szCs w:val="30"/>
                <w:lang w:val="en-US" w:eastAsia="zh-CN"/>
              </w:rPr>
            </w:pPr>
          </w:p>
        </w:tc>
        <w:tc>
          <w:tcPr>
            <w:tcW w:w="1020" w:type="dxa"/>
            <w:tcBorders>
              <w:top w:val="double" w:color="auto" w:sz="6" w:space="0"/>
              <w:bottom w:val="single" w:color="auto" w:sz="6" w:space="0"/>
            </w:tcBorders>
            <w:noWrap w:val="0"/>
            <w:vAlign w:val="center"/>
          </w:tcPr>
          <w:p w14:paraId="5CA92CCF">
            <w:pPr>
              <w:pStyle w:val="2"/>
              <w:keepNext/>
              <w:spacing w:after="0" w:line="440" w:lineRule="exact"/>
              <w:ind w:left="63" w:right="63"/>
              <w:rPr>
                <w:rFonts w:eastAsia="仿宋_GB2312"/>
                <w:color w:val="000000"/>
                <w:kern w:val="2"/>
                <w:sz w:val="30"/>
                <w:szCs w:val="30"/>
                <w:lang w:val="en-US" w:eastAsia="zh-CN"/>
              </w:rPr>
            </w:pPr>
          </w:p>
        </w:tc>
        <w:tc>
          <w:tcPr>
            <w:tcW w:w="921" w:type="dxa"/>
            <w:tcBorders>
              <w:top w:val="double" w:color="auto" w:sz="6" w:space="0"/>
              <w:bottom w:val="single" w:color="auto" w:sz="6" w:space="0"/>
            </w:tcBorders>
            <w:noWrap w:val="0"/>
            <w:vAlign w:val="center"/>
          </w:tcPr>
          <w:p w14:paraId="7919E5CF">
            <w:pPr>
              <w:pStyle w:val="2"/>
              <w:keepNext/>
              <w:spacing w:after="0" w:line="440" w:lineRule="exact"/>
              <w:ind w:left="63" w:right="63"/>
              <w:rPr>
                <w:rFonts w:eastAsia="仿宋_GB2312"/>
                <w:color w:val="000000"/>
                <w:kern w:val="2"/>
                <w:sz w:val="30"/>
                <w:szCs w:val="30"/>
                <w:lang w:val="en-US" w:eastAsia="zh-CN"/>
              </w:rPr>
            </w:pPr>
          </w:p>
        </w:tc>
      </w:tr>
      <w:tr w14:paraId="45CF0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29037DD">
            <w:pPr>
              <w:pStyle w:val="2"/>
              <w:keepNext/>
              <w:spacing w:after="0" w:line="440" w:lineRule="exact"/>
              <w:ind w:left="63" w:right="63"/>
              <w:rPr>
                <w:rFonts w:eastAsia="仿宋_GB2312"/>
                <w:color w:val="000000"/>
                <w:kern w:val="2"/>
                <w:sz w:val="30"/>
                <w:szCs w:val="30"/>
                <w:lang w:val="en-US" w:eastAsia="zh-CN"/>
              </w:rPr>
            </w:pPr>
          </w:p>
        </w:tc>
        <w:tc>
          <w:tcPr>
            <w:tcW w:w="1418" w:type="dxa"/>
            <w:tcBorders>
              <w:top w:val="nil"/>
            </w:tcBorders>
            <w:noWrap w:val="0"/>
            <w:vAlign w:val="center"/>
          </w:tcPr>
          <w:p w14:paraId="70AEAAD7">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5CA518D3">
            <w:pPr>
              <w:pStyle w:val="2"/>
              <w:keepNext/>
              <w:spacing w:after="0" w:line="440" w:lineRule="exact"/>
              <w:ind w:left="63" w:right="63"/>
              <w:rPr>
                <w:rFonts w:eastAsia="仿宋_GB2312"/>
                <w:color w:val="000000"/>
                <w:kern w:val="2"/>
                <w:sz w:val="30"/>
                <w:szCs w:val="30"/>
                <w:lang w:val="en-US" w:eastAsia="zh-CN"/>
              </w:rPr>
            </w:pPr>
          </w:p>
        </w:tc>
        <w:tc>
          <w:tcPr>
            <w:tcW w:w="1058" w:type="dxa"/>
            <w:tcBorders>
              <w:top w:val="nil"/>
            </w:tcBorders>
            <w:noWrap w:val="0"/>
            <w:vAlign w:val="center"/>
          </w:tcPr>
          <w:p w14:paraId="54F9CC91">
            <w:pPr>
              <w:pStyle w:val="2"/>
              <w:keepNext/>
              <w:spacing w:after="0" w:line="440" w:lineRule="exact"/>
              <w:ind w:left="63" w:right="63"/>
              <w:rPr>
                <w:rFonts w:eastAsia="仿宋_GB2312"/>
                <w:color w:val="000000"/>
                <w:kern w:val="2"/>
                <w:sz w:val="30"/>
                <w:szCs w:val="30"/>
                <w:lang w:val="en-US" w:eastAsia="zh-CN"/>
              </w:rPr>
            </w:pPr>
          </w:p>
        </w:tc>
        <w:tc>
          <w:tcPr>
            <w:tcW w:w="880" w:type="dxa"/>
            <w:tcBorders>
              <w:top w:val="nil"/>
            </w:tcBorders>
            <w:noWrap w:val="0"/>
            <w:vAlign w:val="center"/>
          </w:tcPr>
          <w:p w14:paraId="7817AAA3">
            <w:pPr>
              <w:pStyle w:val="2"/>
              <w:keepNext/>
              <w:spacing w:after="0" w:line="440" w:lineRule="exact"/>
              <w:ind w:left="63" w:right="63"/>
              <w:rPr>
                <w:rFonts w:eastAsia="仿宋_GB2312"/>
                <w:color w:val="000000"/>
                <w:kern w:val="2"/>
                <w:sz w:val="30"/>
                <w:szCs w:val="30"/>
                <w:lang w:val="en-US" w:eastAsia="zh-CN"/>
              </w:rPr>
            </w:pPr>
          </w:p>
        </w:tc>
        <w:tc>
          <w:tcPr>
            <w:tcW w:w="1020" w:type="dxa"/>
            <w:tcBorders>
              <w:top w:val="nil"/>
            </w:tcBorders>
            <w:noWrap w:val="0"/>
            <w:vAlign w:val="center"/>
          </w:tcPr>
          <w:p w14:paraId="28BA190B">
            <w:pPr>
              <w:pStyle w:val="2"/>
              <w:keepNext/>
              <w:spacing w:after="0" w:line="440" w:lineRule="exact"/>
              <w:ind w:left="63" w:right="63"/>
              <w:rPr>
                <w:rFonts w:eastAsia="仿宋_GB2312"/>
                <w:color w:val="000000"/>
                <w:kern w:val="2"/>
                <w:sz w:val="30"/>
                <w:szCs w:val="30"/>
                <w:lang w:val="en-US" w:eastAsia="zh-CN"/>
              </w:rPr>
            </w:pPr>
          </w:p>
        </w:tc>
        <w:tc>
          <w:tcPr>
            <w:tcW w:w="1480" w:type="dxa"/>
            <w:tcBorders>
              <w:top w:val="nil"/>
            </w:tcBorders>
            <w:noWrap w:val="0"/>
            <w:vAlign w:val="center"/>
          </w:tcPr>
          <w:p w14:paraId="71EDF2E7">
            <w:pPr>
              <w:pStyle w:val="2"/>
              <w:keepNext/>
              <w:spacing w:after="0" w:line="440" w:lineRule="exact"/>
              <w:ind w:left="63" w:right="63"/>
              <w:rPr>
                <w:rFonts w:eastAsia="仿宋_GB2312"/>
                <w:color w:val="000000"/>
                <w:kern w:val="2"/>
                <w:sz w:val="30"/>
                <w:szCs w:val="30"/>
                <w:lang w:val="en-US" w:eastAsia="zh-CN"/>
              </w:rPr>
            </w:pPr>
          </w:p>
        </w:tc>
        <w:tc>
          <w:tcPr>
            <w:tcW w:w="1020" w:type="dxa"/>
            <w:tcBorders>
              <w:top w:val="nil"/>
            </w:tcBorders>
            <w:noWrap w:val="0"/>
            <w:vAlign w:val="center"/>
          </w:tcPr>
          <w:p w14:paraId="1DF3ED68">
            <w:pPr>
              <w:pStyle w:val="2"/>
              <w:keepNext/>
              <w:spacing w:after="0" w:line="440" w:lineRule="exact"/>
              <w:ind w:left="63" w:right="63"/>
              <w:rPr>
                <w:rFonts w:eastAsia="仿宋_GB2312"/>
                <w:color w:val="000000"/>
                <w:kern w:val="2"/>
                <w:sz w:val="30"/>
                <w:szCs w:val="30"/>
                <w:lang w:val="en-US" w:eastAsia="zh-CN"/>
              </w:rPr>
            </w:pPr>
          </w:p>
        </w:tc>
        <w:tc>
          <w:tcPr>
            <w:tcW w:w="921" w:type="dxa"/>
            <w:tcBorders>
              <w:top w:val="nil"/>
            </w:tcBorders>
            <w:noWrap w:val="0"/>
            <w:vAlign w:val="center"/>
          </w:tcPr>
          <w:p w14:paraId="13FD9285">
            <w:pPr>
              <w:pStyle w:val="2"/>
              <w:keepNext/>
              <w:spacing w:after="0" w:line="440" w:lineRule="exact"/>
              <w:ind w:left="63" w:right="63"/>
              <w:rPr>
                <w:rFonts w:eastAsia="仿宋_GB2312"/>
                <w:color w:val="000000"/>
                <w:kern w:val="2"/>
                <w:sz w:val="30"/>
                <w:szCs w:val="30"/>
                <w:lang w:val="en-US" w:eastAsia="zh-CN"/>
              </w:rPr>
            </w:pPr>
          </w:p>
        </w:tc>
      </w:tr>
      <w:tr w14:paraId="3BE70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02CDDDD">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600E118">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13224B43">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4B5C3407">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2EE7FE84">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708BB62D">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27C89482">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3C97FE5E">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452E247C">
            <w:pPr>
              <w:pStyle w:val="2"/>
              <w:keepNext/>
              <w:spacing w:after="0" w:line="440" w:lineRule="exact"/>
              <w:ind w:left="63" w:right="63"/>
              <w:rPr>
                <w:rFonts w:eastAsia="仿宋_GB2312"/>
                <w:color w:val="000000"/>
                <w:kern w:val="2"/>
                <w:sz w:val="30"/>
                <w:szCs w:val="30"/>
                <w:lang w:val="en-US" w:eastAsia="zh-CN"/>
              </w:rPr>
            </w:pPr>
          </w:p>
        </w:tc>
      </w:tr>
      <w:tr w14:paraId="00B1C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26B3190">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4FB13C16">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77071751">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5FDBC37D">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1A07366B">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4B584BF8">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0359C184">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2C68AE2C">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56756137">
            <w:pPr>
              <w:pStyle w:val="2"/>
              <w:keepNext/>
              <w:spacing w:after="0" w:line="440" w:lineRule="exact"/>
              <w:ind w:left="63" w:right="63"/>
              <w:rPr>
                <w:rFonts w:eastAsia="仿宋_GB2312"/>
                <w:color w:val="000000"/>
                <w:kern w:val="2"/>
                <w:sz w:val="30"/>
                <w:szCs w:val="30"/>
                <w:lang w:val="en-US" w:eastAsia="zh-CN"/>
              </w:rPr>
            </w:pPr>
          </w:p>
        </w:tc>
      </w:tr>
      <w:tr w14:paraId="3656D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C5A64BB">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157A4EFE">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7019E584">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4ED64FC6">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61838255">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1751C6A6">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777D4CD2">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5B163E1F">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65FD9B70">
            <w:pPr>
              <w:pStyle w:val="2"/>
              <w:keepNext/>
              <w:spacing w:after="0" w:line="440" w:lineRule="exact"/>
              <w:ind w:left="63" w:right="63"/>
              <w:rPr>
                <w:rFonts w:eastAsia="仿宋_GB2312"/>
                <w:color w:val="000000"/>
                <w:kern w:val="2"/>
                <w:sz w:val="30"/>
                <w:szCs w:val="30"/>
                <w:lang w:val="en-US" w:eastAsia="zh-CN"/>
              </w:rPr>
            </w:pPr>
          </w:p>
        </w:tc>
      </w:tr>
      <w:tr w14:paraId="54C78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95F9B9E">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7D64D612">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6581C9AE">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67E25C0D">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5AECA8BB">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2941D3C2">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06574FFF">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71E45AB9">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4563A941">
            <w:pPr>
              <w:pStyle w:val="2"/>
              <w:keepNext/>
              <w:spacing w:after="0" w:line="440" w:lineRule="exact"/>
              <w:ind w:left="63" w:right="63"/>
              <w:rPr>
                <w:rFonts w:eastAsia="仿宋_GB2312"/>
                <w:color w:val="000000"/>
                <w:kern w:val="2"/>
                <w:sz w:val="30"/>
                <w:szCs w:val="30"/>
                <w:lang w:val="en-US" w:eastAsia="zh-CN"/>
              </w:rPr>
            </w:pPr>
          </w:p>
        </w:tc>
      </w:tr>
      <w:tr w14:paraId="31EB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9D815BA">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1FAD6FA5">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4B205F13">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0D5801CD">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012E33EB">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11C0CBE8">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565BD7E5">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2F6D18D6">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4D19BCC0">
            <w:pPr>
              <w:pStyle w:val="2"/>
              <w:keepNext/>
              <w:spacing w:after="0" w:line="440" w:lineRule="exact"/>
              <w:ind w:left="63" w:right="63"/>
              <w:rPr>
                <w:rFonts w:eastAsia="仿宋_GB2312"/>
                <w:color w:val="000000"/>
                <w:kern w:val="2"/>
                <w:sz w:val="30"/>
                <w:szCs w:val="30"/>
                <w:lang w:val="en-US" w:eastAsia="zh-CN"/>
              </w:rPr>
            </w:pPr>
          </w:p>
        </w:tc>
      </w:tr>
      <w:tr w14:paraId="6A6A2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7E5308B">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21782B60">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3B9B257D">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65E18E19">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2AC17114">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19A9F29F">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61FFC830">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53ACDC59">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0C57D114">
            <w:pPr>
              <w:pStyle w:val="2"/>
              <w:keepNext/>
              <w:spacing w:after="0" w:line="440" w:lineRule="exact"/>
              <w:ind w:left="63" w:right="63"/>
              <w:rPr>
                <w:rFonts w:eastAsia="仿宋_GB2312"/>
                <w:color w:val="000000"/>
                <w:kern w:val="2"/>
                <w:sz w:val="30"/>
                <w:szCs w:val="30"/>
                <w:lang w:val="en-US" w:eastAsia="zh-CN"/>
              </w:rPr>
            </w:pPr>
          </w:p>
        </w:tc>
      </w:tr>
      <w:tr w14:paraId="1ABA6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DA7A2FA">
            <w:pPr>
              <w:rPr>
                <w:rFonts w:eastAsia="仿宋_GB2312"/>
                <w:color w:val="000000"/>
                <w:sz w:val="30"/>
                <w:szCs w:val="30"/>
              </w:rPr>
            </w:pPr>
          </w:p>
        </w:tc>
        <w:tc>
          <w:tcPr>
            <w:tcW w:w="1418" w:type="dxa"/>
            <w:noWrap w:val="0"/>
            <w:vAlign w:val="top"/>
          </w:tcPr>
          <w:p w14:paraId="668074DF">
            <w:pPr>
              <w:rPr>
                <w:rFonts w:eastAsia="仿宋_GB2312"/>
                <w:color w:val="000000"/>
                <w:sz w:val="30"/>
                <w:szCs w:val="30"/>
              </w:rPr>
            </w:pPr>
          </w:p>
        </w:tc>
        <w:tc>
          <w:tcPr>
            <w:tcW w:w="850" w:type="dxa"/>
            <w:noWrap w:val="0"/>
            <w:vAlign w:val="top"/>
          </w:tcPr>
          <w:p w14:paraId="4A38D6CA">
            <w:pPr>
              <w:rPr>
                <w:rFonts w:eastAsia="仿宋_GB2312"/>
                <w:color w:val="000000"/>
                <w:sz w:val="30"/>
                <w:szCs w:val="30"/>
              </w:rPr>
            </w:pPr>
          </w:p>
        </w:tc>
        <w:tc>
          <w:tcPr>
            <w:tcW w:w="1058" w:type="dxa"/>
            <w:noWrap w:val="0"/>
            <w:vAlign w:val="top"/>
          </w:tcPr>
          <w:p w14:paraId="45C4C21E">
            <w:pPr>
              <w:rPr>
                <w:rFonts w:eastAsia="仿宋_GB2312"/>
                <w:color w:val="000000"/>
                <w:sz w:val="30"/>
                <w:szCs w:val="30"/>
              </w:rPr>
            </w:pPr>
          </w:p>
        </w:tc>
        <w:tc>
          <w:tcPr>
            <w:tcW w:w="880" w:type="dxa"/>
            <w:noWrap w:val="0"/>
            <w:vAlign w:val="top"/>
          </w:tcPr>
          <w:p w14:paraId="56C4FBD9">
            <w:pPr>
              <w:rPr>
                <w:rFonts w:eastAsia="仿宋_GB2312"/>
                <w:color w:val="000000"/>
                <w:sz w:val="30"/>
                <w:szCs w:val="30"/>
              </w:rPr>
            </w:pPr>
          </w:p>
        </w:tc>
        <w:tc>
          <w:tcPr>
            <w:tcW w:w="1020" w:type="dxa"/>
            <w:noWrap w:val="0"/>
            <w:vAlign w:val="top"/>
          </w:tcPr>
          <w:p w14:paraId="08540F55">
            <w:pPr>
              <w:rPr>
                <w:rFonts w:eastAsia="仿宋_GB2312"/>
                <w:color w:val="000000"/>
                <w:sz w:val="30"/>
                <w:szCs w:val="30"/>
              </w:rPr>
            </w:pPr>
          </w:p>
        </w:tc>
        <w:tc>
          <w:tcPr>
            <w:tcW w:w="1480" w:type="dxa"/>
            <w:noWrap w:val="0"/>
            <w:vAlign w:val="top"/>
          </w:tcPr>
          <w:p w14:paraId="10CDD728">
            <w:pPr>
              <w:rPr>
                <w:rFonts w:eastAsia="仿宋_GB2312"/>
                <w:color w:val="000000"/>
                <w:sz w:val="30"/>
                <w:szCs w:val="30"/>
              </w:rPr>
            </w:pPr>
          </w:p>
        </w:tc>
        <w:tc>
          <w:tcPr>
            <w:tcW w:w="1020" w:type="dxa"/>
            <w:noWrap w:val="0"/>
            <w:vAlign w:val="top"/>
          </w:tcPr>
          <w:p w14:paraId="7AAB7BAE">
            <w:pPr>
              <w:rPr>
                <w:rFonts w:eastAsia="仿宋_GB2312"/>
                <w:color w:val="000000"/>
                <w:sz w:val="30"/>
                <w:szCs w:val="30"/>
              </w:rPr>
            </w:pPr>
          </w:p>
        </w:tc>
        <w:tc>
          <w:tcPr>
            <w:tcW w:w="921" w:type="dxa"/>
            <w:noWrap w:val="0"/>
            <w:vAlign w:val="top"/>
          </w:tcPr>
          <w:p w14:paraId="1BCCAAD8">
            <w:pPr>
              <w:rPr>
                <w:rFonts w:eastAsia="仿宋_GB2312"/>
                <w:color w:val="000000"/>
                <w:sz w:val="30"/>
                <w:szCs w:val="30"/>
              </w:rPr>
            </w:pPr>
          </w:p>
        </w:tc>
      </w:tr>
      <w:tr w14:paraId="50D4B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3C7DDBB">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314A83B8">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023A9147">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09C79CDD">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23232DFB">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4210373B">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4E8D8034">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441C36AA">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2E3BF2CB">
            <w:pPr>
              <w:pStyle w:val="2"/>
              <w:keepNext/>
              <w:spacing w:after="0" w:line="440" w:lineRule="exact"/>
              <w:ind w:left="63" w:right="63"/>
              <w:rPr>
                <w:rFonts w:eastAsia="仿宋_GB2312"/>
                <w:color w:val="000000"/>
                <w:kern w:val="2"/>
                <w:sz w:val="30"/>
                <w:szCs w:val="30"/>
                <w:lang w:val="en-US" w:eastAsia="zh-CN"/>
              </w:rPr>
            </w:pPr>
          </w:p>
        </w:tc>
      </w:tr>
      <w:tr w14:paraId="01DB7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4D49186">
            <w:pPr>
              <w:rPr>
                <w:rFonts w:eastAsia="仿宋_GB2312"/>
                <w:color w:val="000000"/>
                <w:sz w:val="30"/>
                <w:szCs w:val="30"/>
              </w:rPr>
            </w:pPr>
          </w:p>
        </w:tc>
        <w:tc>
          <w:tcPr>
            <w:tcW w:w="1418" w:type="dxa"/>
            <w:noWrap w:val="0"/>
            <w:vAlign w:val="top"/>
          </w:tcPr>
          <w:p w14:paraId="10BBC7BD">
            <w:pPr>
              <w:rPr>
                <w:rFonts w:eastAsia="仿宋_GB2312"/>
                <w:color w:val="000000"/>
                <w:sz w:val="30"/>
                <w:szCs w:val="30"/>
              </w:rPr>
            </w:pPr>
          </w:p>
        </w:tc>
        <w:tc>
          <w:tcPr>
            <w:tcW w:w="850" w:type="dxa"/>
            <w:noWrap w:val="0"/>
            <w:vAlign w:val="top"/>
          </w:tcPr>
          <w:p w14:paraId="632DAB5B">
            <w:pPr>
              <w:rPr>
                <w:rFonts w:eastAsia="仿宋_GB2312"/>
                <w:color w:val="000000"/>
                <w:sz w:val="30"/>
                <w:szCs w:val="30"/>
              </w:rPr>
            </w:pPr>
          </w:p>
        </w:tc>
        <w:tc>
          <w:tcPr>
            <w:tcW w:w="1058" w:type="dxa"/>
            <w:noWrap w:val="0"/>
            <w:vAlign w:val="top"/>
          </w:tcPr>
          <w:p w14:paraId="3031379D">
            <w:pPr>
              <w:rPr>
                <w:rFonts w:eastAsia="仿宋_GB2312"/>
                <w:color w:val="000000"/>
                <w:sz w:val="30"/>
                <w:szCs w:val="30"/>
              </w:rPr>
            </w:pPr>
          </w:p>
        </w:tc>
        <w:tc>
          <w:tcPr>
            <w:tcW w:w="880" w:type="dxa"/>
            <w:noWrap w:val="0"/>
            <w:vAlign w:val="top"/>
          </w:tcPr>
          <w:p w14:paraId="295D2C64">
            <w:pPr>
              <w:rPr>
                <w:rFonts w:eastAsia="仿宋_GB2312"/>
                <w:color w:val="000000"/>
                <w:sz w:val="30"/>
                <w:szCs w:val="30"/>
              </w:rPr>
            </w:pPr>
          </w:p>
        </w:tc>
        <w:tc>
          <w:tcPr>
            <w:tcW w:w="1020" w:type="dxa"/>
            <w:noWrap w:val="0"/>
            <w:vAlign w:val="top"/>
          </w:tcPr>
          <w:p w14:paraId="5DC91E18">
            <w:pPr>
              <w:rPr>
                <w:rFonts w:eastAsia="仿宋_GB2312"/>
                <w:color w:val="000000"/>
                <w:sz w:val="30"/>
                <w:szCs w:val="30"/>
              </w:rPr>
            </w:pPr>
          </w:p>
        </w:tc>
        <w:tc>
          <w:tcPr>
            <w:tcW w:w="1480" w:type="dxa"/>
            <w:noWrap w:val="0"/>
            <w:vAlign w:val="top"/>
          </w:tcPr>
          <w:p w14:paraId="3A3DD216">
            <w:pPr>
              <w:rPr>
                <w:rFonts w:eastAsia="仿宋_GB2312"/>
                <w:color w:val="000000"/>
                <w:sz w:val="30"/>
                <w:szCs w:val="30"/>
              </w:rPr>
            </w:pPr>
          </w:p>
        </w:tc>
        <w:tc>
          <w:tcPr>
            <w:tcW w:w="1020" w:type="dxa"/>
            <w:noWrap w:val="0"/>
            <w:vAlign w:val="top"/>
          </w:tcPr>
          <w:p w14:paraId="422639C1">
            <w:pPr>
              <w:rPr>
                <w:rFonts w:eastAsia="仿宋_GB2312"/>
                <w:color w:val="000000"/>
                <w:sz w:val="30"/>
                <w:szCs w:val="30"/>
              </w:rPr>
            </w:pPr>
          </w:p>
        </w:tc>
        <w:tc>
          <w:tcPr>
            <w:tcW w:w="921" w:type="dxa"/>
            <w:noWrap w:val="0"/>
            <w:vAlign w:val="top"/>
          </w:tcPr>
          <w:p w14:paraId="030396CD">
            <w:pPr>
              <w:rPr>
                <w:rFonts w:eastAsia="仿宋_GB2312"/>
                <w:color w:val="000000"/>
                <w:sz w:val="30"/>
                <w:szCs w:val="30"/>
              </w:rPr>
            </w:pPr>
          </w:p>
        </w:tc>
      </w:tr>
      <w:tr w14:paraId="365FA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A0C17D3">
            <w:pPr>
              <w:rPr>
                <w:rFonts w:eastAsia="仿宋_GB2312"/>
                <w:color w:val="000000"/>
                <w:sz w:val="30"/>
                <w:szCs w:val="30"/>
              </w:rPr>
            </w:pPr>
          </w:p>
        </w:tc>
        <w:tc>
          <w:tcPr>
            <w:tcW w:w="1418" w:type="dxa"/>
            <w:noWrap w:val="0"/>
            <w:vAlign w:val="top"/>
          </w:tcPr>
          <w:p w14:paraId="0D8F3580">
            <w:pPr>
              <w:rPr>
                <w:rFonts w:eastAsia="仿宋_GB2312"/>
                <w:color w:val="000000"/>
                <w:sz w:val="30"/>
                <w:szCs w:val="30"/>
              </w:rPr>
            </w:pPr>
          </w:p>
        </w:tc>
        <w:tc>
          <w:tcPr>
            <w:tcW w:w="850" w:type="dxa"/>
            <w:noWrap w:val="0"/>
            <w:vAlign w:val="top"/>
          </w:tcPr>
          <w:p w14:paraId="2AFC446D">
            <w:pPr>
              <w:rPr>
                <w:rFonts w:eastAsia="仿宋_GB2312"/>
                <w:color w:val="000000"/>
                <w:sz w:val="30"/>
                <w:szCs w:val="30"/>
              </w:rPr>
            </w:pPr>
          </w:p>
        </w:tc>
        <w:tc>
          <w:tcPr>
            <w:tcW w:w="1058" w:type="dxa"/>
            <w:noWrap w:val="0"/>
            <w:vAlign w:val="top"/>
          </w:tcPr>
          <w:p w14:paraId="3792C450">
            <w:pPr>
              <w:rPr>
                <w:rFonts w:eastAsia="仿宋_GB2312"/>
                <w:color w:val="000000"/>
                <w:sz w:val="30"/>
                <w:szCs w:val="30"/>
              </w:rPr>
            </w:pPr>
          </w:p>
        </w:tc>
        <w:tc>
          <w:tcPr>
            <w:tcW w:w="880" w:type="dxa"/>
            <w:noWrap w:val="0"/>
            <w:vAlign w:val="top"/>
          </w:tcPr>
          <w:p w14:paraId="78E5DFC5">
            <w:pPr>
              <w:rPr>
                <w:rFonts w:eastAsia="仿宋_GB2312"/>
                <w:color w:val="000000"/>
                <w:sz w:val="30"/>
                <w:szCs w:val="30"/>
              </w:rPr>
            </w:pPr>
          </w:p>
        </w:tc>
        <w:tc>
          <w:tcPr>
            <w:tcW w:w="1020" w:type="dxa"/>
            <w:noWrap w:val="0"/>
            <w:vAlign w:val="top"/>
          </w:tcPr>
          <w:p w14:paraId="278F1C41">
            <w:pPr>
              <w:rPr>
                <w:rFonts w:eastAsia="仿宋_GB2312"/>
                <w:color w:val="000000"/>
                <w:sz w:val="30"/>
                <w:szCs w:val="30"/>
              </w:rPr>
            </w:pPr>
          </w:p>
        </w:tc>
        <w:tc>
          <w:tcPr>
            <w:tcW w:w="1480" w:type="dxa"/>
            <w:noWrap w:val="0"/>
            <w:vAlign w:val="top"/>
          </w:tcPr>
          <w:p w14:paraId="0CA2305E">
            <w:pPr>
              <w:rPr>
                <w:rFonts w:eastAsia="仿宋_GB2312"/>
                <w:color w:val="000000"/>
                <w:sz w:val="30"/>
                <w:szCs w:val="30"/>
              </w:rPr>
            </w:pPr>
          </w:p>
        </w:tc>
        <w:tc>
          <w:tcPr>
            <w:tcW w:w="1020" w:type="dxa"/>
            <w:noWrap w:val="0"/>
            <w:vAlign w:val="top"/>
          </w:tcPr>
          <w:p w14:paraId="7D1AF8F3">
            <w:pPr>
              <w:rPr>
                <w:rFonts w:eastAsia="仿宋_GB2312"/>
                <w:color w:val="000000"/>
                <w:sz w:val="30"/>
                <w:szCs w:val="30"/>
              </w:rPr>
            </w:pPr>
          </w:p>
        </w:tc>
        <w:tc>
          <w:tcPr>
            <w:tcW w:w="921" w:type="dxa"/>
            <w:noWrap w:val="0"/>
            <w:vAlign w:val="top"/>
          </w:tcPr>
          <w:p w14:paraId="6C23929D">
            <w:pPr>
              <w:rPr>
                <w:rFonts w:eastAsia="仿宋_GB2312"/>
                <w:color w:val="000000"/>
                <w:sz w:val="30"/>
                <w:szCs w:val="30"/>
              </w:rPr>
            </w:pPr>
          </w:p>
        </w:tc>
      </w:tr>
      <w:tr w14:paraId="09C3E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5AAFD8F">
            <w:pPr>
              <w:rPr>
                <w:rFonts w:eastAsia="仿宋_GB2312"/>
                <w:color w:val="000000"/>
                <w:sz w:val="30"/>
                <w:szCs w:val="30"/>
              </w:rPr>
            </w:pPr>
          </w:p>
        </w:tc>
        <w:tc>
          <w:tcPr>
            <w:tcW w:w="1418" w:type="dxa"/>
            <w:noWrap w:val="0"/>
            <w:vAlign w:val="top"/>
          </w:tcPr>
          <w:p w14:paraId="2D23727B">
            <w:pPr>
              <w:rPr>
                <w:rFonts w:eastAsia="仿宋_GB2312"/>
                <w:color w:val="000000"/>
                <w:sz w:val="30"/>
                <w:szCs w:val="30"/>
              </w:rPr>
            </w:pPr>
          </w:p>
        </w:tc>
        <w:tc>
          <w:tcPr>
            <w:tcW w:w="850" w:type="dxa"/>
            <w:noWrap w:val="0"/>
            <w:vAlign w:val="top"/>
          </w:tcPr>
          <w:p w14:paraId="46181E11">
            <w:pPr>
              <w:rPr>
                <w:rFonts w:eastAsia="仿宋_GB2312"/>
                <w:color w:val="000000"/>
                <w:sz w:val="30"/>
                <w:szCs w:val="30"/>
              </w:rPr>
            </w:pPr>
          </w:p>
        </w:tc>
        <w:tc>
          <w:tcPr>
            <w:tcW w:w="1058" w:type="dxa"/>
            <w:noWrap w:val="0"/>
            <w:vAlign w:val="top"/>
          </w:tcPr>
          <w:p w14:paraId="02B8C27F">
            <w:pPr>
              <w:rPr>
                <w:rFonts w:eastAsia="仿宋_GB2312"/>
                <w:color w:val="000000"/>
                <w:sz w:val="30"/>
                <w:szCs w:val="30"/>
              </w:rPr>
            </w:pPr>
          </w:p>
        </w:tc>
        <w:tc>
          <w:tcPr>
            <w:tcW w:w="880" w:type="dxa"/>
            <w:noWrap w:val="0"/>
            <w:vAlign w:val="top"/>
          </w:tcPr>
          <w:p w14:paraId="4F97904D">
            <w:pPr>
              <w:rPr>
                <w:rFonts w:eastAsia="仿宋_GB2312"/>
                <w:color w:val="000000"/>
                <w:sz w:val="30"/>
                <w:szCs w:val="30"/>
              </w:rPr>
            </w:pPr>
          </w:p>
        </w:tc>
        <w:tc>
          <w:tcPr>
            <w:tcW w:w="1020" w:type="dxa"/>
            <w:noWrap w:val="0"/>
            <w:vAlign w:val="top"/>
          </w:tcPr>
          <w:p w14:paraId="01106D72">
            <w:pPr>
              <w:rPr>
                <w:rFonts w:eastAsia="仿宋_GB2312"/>
                <w:color w:val="000000"/>
                <w:sz w:val="30"/>
                <w:szCs w:val="30"/>
              </w:rPr>
            </w:pPr>
          </w:p>
        </w:tc>
        <w:tc>
          <w:tcPr>
            <w:tcW w:w="1480" w:type="dxa"/>
            <w:noWrap w:val="0"/>
            <w:vAlign w:val="top"/>
          </w:tcPr>
          <w:p w14:paraId="5C993201">
            <w:pPr>
              <w:rPr>
                <w:rFonts w:eastAsia="仿宋_GB2312"/>
                <w:color w:val="000000"/>
                <w:sz w:val="30"/>
                <w:szCs w:val="30"/>
              </w:rPr>
            </w:pPr>
          </w:p>
        </w:tc>
        <w:tc>
          <w:tcPr>
            <w:tcW w:w="1020" w:type="dxa"/>
            <w:noWrap w:val="0"/>
            <w:vAlign w:val="top"/>
          </w:tcPr>
          <w:p w14:paraId="732CC856">
            <w:pPr>
              <w:rPr>
                <w:rFonts w:eastAsia="仿宋_GB2312"/>
                <w:color w:val="000000"/>
                <w:sz w:val="30"/>
                <w:szCs w:val="30"/>
              </w:rPr>
            </w:pPr>
          </w:p>
        </w:tc>
        <w:tc>
          <w:tcPr>
            <w:tcW w:w="921" w:type="dxa"/>
            <w:noWrap w:val="0"/>
            <w:vAlign w:val="top"/>
          </w:tcPr>
          <w:p w14:paraId="07C5BAFD">
            <w:pPr>
              <w:rPr>
                <w:rFonts w:eastAsia="仿宋_GB2312"/>
                <w:color w:val="000000"/>
                <w:sz w:val="30"/>
                <w:szCs w:val="30"/>
              </w:rPr>
            </w:pPr>
          </w:p>
        </w:tc>
      </w:tr>
      <w:tr w14:paraId="4C185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79C3A9E">
            <w:pPr>
              <w:rPr>
                <w:rFonts w:eastAsia="仿宋_GB2312"/>
                <w:color w:val="000000"/>
                <w:sz w:val="30"/>
                <w:szCs w:val="30"/>
              </w:rPr>
            </w:pPr>
          </w:p>
        </w:tc>
        <w:tc>
          <w:tcPr>
            <w:tcW w:w="1418" w:type="dxa"/>
            <w:noWrap w:val="0"/>
            <w:vAlign w:val="top"/>
          </w:tcPr>
          <w:p w14:paraId="0D7637F6">
            <w:pPr>
              <w:rPr>
                <w:rFonts w:eastAsia="仿宋_GB2312"/>
                <w:color w:val="000000"/>
                <w:sz w:val="30"/>
                <w:szCs w:val="30"/>
              </w:rPr>
            </w:pPr>
          </w:p>
        </w:tc>
        <w:tc>
          <w:tcPr>
            <w:tcW w:w="850" w:type="dxa"/>
            <w:noWrap w:val="0"/>
            <w:vAlign w:val="top"/>
          </w:tcPr>
          <w:p w14:paraId="0F21D304">
            <w:pPr>
              <w:rPr>
                <w:rFonts w:eastAsia="仿宋_GB2312"/>
                <w:color w:val="000000"/>
                <w:sz w:val="30"/>
                <w:szCs w:val="30"/>
              </w:rPr>
            </w:pPr>
          </w:p>
        </w:tc>
        <w:tc>
          <w:tcPr>
            <w:tcW w:w="1058" w:type="dxa"/>
            <w:noWrap w:val="0"/>
            <w:vAlign w:val="top"/>
          </w:tcPr>
          <w:p w14:paraId="23D4A4D8">
            <w:pPr>
              <w:rPr>
                <w:rFonts w:eastAsia="仿宋_GB2312"/>
                <w:color w:val="000000"/>
                <w:sz w:val="30"/>
                <w:szCs w:val="30"/>
              </w:rPr>
            </w:pPr>
          </w:p>
        </w:tc>
        <w:tc>
          <w:tcPr>
            <w:tcW w:w="880" w:type="dxa"/>
            <w:noWrap w:val="0"/>
            <w:vAlign w:val="top"/>
          </w:tcPr>
          <w:p w14:paraId="1AC725DE">
            <w:pPr>
              <w:rPr>
                <w:rFonts w:eastAsia="仿宋_GB2312"/>
                <w:color w:val="000000"/>
                <w:sz w:val="30"/>
                <w:szCs w:val="30"/>
              </w:rPr>
            </w:pPr>
          </w:p>
        </w:tc>
        <w:tc>
          <w:tcPr>
            <w:tcW w:w="1020" w:type="dxa"/>
            <w:noWrap w:val="0"/>
            <w:vAlign w:val="top"/>
          </w:tcPr>
          <w:p w14:paraId="733C8384">
            <w:pPr>
              <w:rPr>
                <w:rFonts w:eastAsia="仿宋_GB2312"/>
                <w:color w:val="000000"/>
                <w:sz w:val="30"/>
                <w:szCs w:val="30"/>
              </w:rPr>
            </w:pPr>
          </w:p>
        </w:tc>
        <w:tc>
          <w:tcPr>
            <w:tcW w:w="1480" w:type="dxa"/>
            <w:noWrap w:val="0"/>
            <w:vAlign w:val="top"/>
          </w:tcPr>
          <w:p w14:paraId="1057D056">
            <w:pPr>
              <w:rPr>
                <w:rFonts w:eastAsia="仿宋_GB2312"/>
                <w:color w:val="000000"/>
                <w:sz w:val="30"/>
                <w:szCs w:val="30"/>
              </w:rPr>
            </w:pPr>
          </w:p>
        </w:tc>
        <w:tc>
          <w:tcPr>
            <w:tcW w:w="1020" w:type="dxa"/>
            <w:noWrap w:val="0"/>
            <w:vAlign w:val="top"/>
          </w:tcPr>
          <w:p w14:paraId="76FDF468">
            <w:pPr>
              <w:rPr>
                <w:rFonts w:eastAsia="仿宋_GB2312"/>
                <w:color w:val="000000"/>
                <w:sz w:val="30"/>
                <w:szCs w:val="30"/>
              </w:rPr>
            </w:pPr>
          </w:p>
        </w:tc>
        <w:tc>
          <w:tcPr>
            <w:tcW w:w="921" w:type="dxa"/>
            <w:noWrap w:val="0"/>
            <w:vAlign w:val="top"/>
          </w:tcPr>
          <w:p w14:paraId="181AAC10">
            <w:pPr>
              <w:rPr>
                <w:rFonts w:eastAsia="仿宋_GB2312"/>
                <w:color w:val="000000"/>
                <w:sz w:val="30"/>
                <w:szCs w:val="30"/>
              </w:rPr>
            </w:pPr>
          </w:p>
        </w:tc>
      </w:tr>
      <w:tr w14:paraId="5BBB1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138187">
            <w:pPr>
              <w:rPr>
                <w:rFonts w:eastAsia="仿宋_GB2312"/>
                <w:color w:val="000000"/>
                <w:sz w:val="30"/>
                <w:szCs w:val="30"/>
              </w:rPr>
            </w:pPr>
          </w:p>
        </w:tc>
        <w:tc>
          <w:tcPr>
            <w:tcW w:w="1418" w:type="dxa"/>
            <w:noWrap w:val="0"/>
            <w:vAlign w:val="top"/>
          </w:tcPr>
          <w:p w14:paraId="4DD7D401">
            <w:pPr>
              <w:rPr>
                <w:rFonts w:eastAsia="仿宋_GB2312"/>
                <w:color w:val="000000"/>
                <w:sz w:val="30"/>
                <w:szCs w:val="30"/>
              </w:rPr>
            </w:pPr>
          </w:p>
        </w:tc>
        <w:tc>
          <w:tcPr>
            <w:tcW w:w="850" w:type="dxa"/>
            <w:noWrap w:val="0"/>
            <w:vAlign w:val="top"/>
          </w:tcPr>
          <w:p w14:paraId="58CE3B96">
            <w:pPr>
              <w:rPr>
                <w:rFonts w:eastAsia="仿宋_GB2312"/>
                <w:color w:val="000000"/>
                <w:sz w:val="30"/>
                <w:szCs w:val="30"/>
              </w:rPr>
            </w:pPr>
          </w:p>
        </w:tc>
        <w:tc>
          <w:tcPr>
            <w:tcW w:w="1058" w:type="dxa"/>
            <w:noWrap w:val="0"/>
            <w:vAlign w:val="top"/>
          </w:tcPr>
          <w:p w14:paraId="32B2D8F4">
            <w:pPr>
              <w:rPr>
                <w:rFonts w:eastAsia="仿宋_GB2312"/>
                <w:color w:val="000000"/>
                <w:sz w:val="30"/>
                <w:szCs w:val="30"/>
              </w:rPr>
            </w:pPr>
          </w:p>
        </w:tc>
        <w:tc>
          <w:tcPr>
            <w:tcW w:w="880" w:type="dxa"/>
            <w:noWrap w:val="0"/>
            <w:vAlign w:val="top"/>
          </w:tcPr>
          <w:p w14:paraId="1281ED2A">
            <w:pPr>
              <w:rPr>
                <w:rFonts w:eastAsia="仿宋_GB2312"/>
                <w:color w:val="000000"/>
                <w:sz w:val="30"/>
                <w:szCs w:val="30"/>
              </w:rPr>
            </w:pPr>
          </w:p>
        </w:tc>
        <w:tc>
          <w:tcPr>
            <w:tcW w:w="1020" w:type="dxa"/>
            <w:noWrap w:val="0"/>
            <w:vAlign w:val="top"/>
          </w:tcPr>
          <w:p w14:paraId="1D711212">
            <w:pPr>
              <w:rPr>
                <w:rFonts w:eastAsia="仿宋_GB2312"/>
                <w:color w:val="000000"/>
                <w:sz w:val="30"/>
                <w:szCs w:val="30"/>
              </w:rPr>
            </w:pPr>
          </w:p>
        </w:tc>
        <w:tc>
          <w:tcPr>
            <w:tcW w:w="1480" w:type="dxa"/>
            <w:noWrap w:val="0"/>
            <w:vAlign w:val="top"/>
          </w:tcPr>
          <w:p w14:paraId="5CF80924">
            <w:pPr>
              <w:rPr>
                <w:rFonts w:eastAsia="仿宋_GB2312"/>
                <w:color w:val="000000"/>
                <w:sz w:val="30"/>
                <w:szCs w:val="30"/>
              </w:rPr>
            </w:pPr>
          </w:p>
        </w:tc>
        <w:tc>
          <w:tcPr>
            <w:tcW w:w="1020" w:type="dxa"/>
            <w:noWrap w:val="0"/>
            <w:vAlign w:val="top"/>
          </w:tcPr>
          <w:p w14:paraId="5FF5F11D">
            <w:pPr>
              <w:rPr>
                <w:rFonts w:eastAsia="仿宋_GB2312"/>
                <w:color w:val="000000"/>
                <w:sz w:val="30"/>
                <w:szCs w:val="30"/>
              </w:rPr>
            </w:pPr>
          </w:p>
        </w:tc>
        <w:tc>
          <w:tcPr>
            <w:tcW w:w="921" w:type="dxa"/>
            <w:noWrap w:val="0"/>
            <w:vAlign w:val="top"/>
          </w:tcPr>
          <w:p w14:paraId="1FF7DCC0">
            <w:pPr>
              <w:rPr>
                <w:rFonts w:eastAsia="仿宋_GB2312"/>
                <w:color w:val="000000"/>
                <w:sz w:val="30"/>
                <w:szCs w:val="30"/>
              </w:rPr>
            </w:pPr>
          </w:p>
        </w:tc>
      </w:tr>
      <w:tr w14:paraId="3DC50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F3400B">
            <w:pPr>
              <w:rPr>
                <w:rFonts w:eastAsia="仿宋_GB2312"/>
                <w:color w:val="000000"/>
                <w:sz w:val="30"/>
                <w:szCs w:val="30"/>
              </w:rPr>
            </w:pPr>
          </w:p>
        </w:tc>
        <w:tc>
          <w:tcPr>
            <w:tcW w:w="1418" w:type="dxa"/>
            <w:noWrap w:val="0"/>
            <w:vAlign w:val="top"/>
          </w:tcPr>
          <w:p w14:paraId="76074F10">
            <w:pPr>
              <w:rPr>
                <w:rFonts w:eastAsia="仿宋_GB2312"/>
                <w:color w:val="000000"/>
                <w:sz w:val="30"/>
                <w:szCs w:val="30"/>
              </w:rPr>
            </w:pPr>
          </w:p>
        </w:tc>
        <w:tc>
          <w:tcPr>
            <w:tcW w:w="850" w:type="dxa"/>
            <w:noWrap w:val="0"/>
            <w:vAlign w:val="top"/>
          </w:tcPr>
          <w:p w14:paraId="532F0D3F">
            <w:pPr>
              <w:rPr>
                <w:rFonts w:eastAsia="仿宋_GB2312"/>
                <w:color w:val="000000"/>
                <w:sz w:val="30"/>
                <w:szCs w:val="30"/>
              </w:rPr>
            </w:pPr>
          </w:p>
        </w:tc>
        <w:tc>
          <w:tcPr>
            <w:tcW w:w="1058" w:type="dxa"/>
            <w:noWrap w:val="0"/>
            <w:vAlign w:val="top"/>
          </w:tcPr>
          <w:p w14:paraId="3087E224">
            <w:pPr>
              <w:rPr>
                <w:rFonts w:eastAsia="仿宋_GB2312"/>
                <w:color w:val="000000"/>
                <w:sz w:val="30"/>
                <w:szCs w:val="30"/>
              </w:rPr>
            </w:pPr>
          </w:p>
        </w:tc>
        <w:tc>
          <w:tcPr>
            <w:tcW w:w="880" w:type="dxa"/>
            <w:noWrap w:val="0"/>
            <w:vAlign w:val="top"/>
          </w:tcPr>
          <w:p w14:paraId="7541BDED">
            <w:pPr>
              <w:rPr>
                <w:rFonts w:eastAsia="仿宋_GB2312"/>
                <w:color w:val="000000"/>
                <w:sz w:val="30"/>
                <w:szCs w:val="30"/>
              </w:rPr>
            </w:pPr>
          </w:p>
        </w:tc>
        <w:tc>
          <w:tcPr>
            <w:tcW w:w="1020" w:type="dxa"/>
            <w:noWrap w:val="0"/>
            <w:vAlign w:val="top"/>
          </w:tcPr>
          <w:p w14:paraId="5E469F04">
            <w:pPr>
              <w:rPr>
                <w:rFonts w:eastAsia="仿宋_GB2312"/>
                <w:color w:val="000000"/>
                <w:sz w:val="30"/>
                <w:szCs w:val="30"/>
              </w:rPr>
            </w:pPr>
          </w:p>
        </w:tc>
        <w:tc>
          <w:tcPr>
            <w:tcW w:w="1480" w:type="dxa"/>
            <w:noWrap w:val="0"/>
            <w:vAlign w:val="top"/>
          </w:tcPr>
          <w:p w14:paraId="24FEFD2E">
            <w:pPr>
              <w:rPr>
                <w:rFonts w:eastAsia="仿宋_GB2312"/>
                <w:color w:val="000000"/>
                <w:sz w:val="30"/>
                <w:szCs w:val="30"/>
              </w:rPr>
            </w:pPr>
          </w:p>
        </w:tc>
        <w:tc>
          <w:tcPr>
            <w:tcW w:w="1020" w:type="dxa"/>
            <w:noWrap w:val="0"/>
            <w:vAlign w:val="top"/>
          </w:tcPr>
          <w:p w14:paraId="55606ECB">
            <w:pPr>
              <w:rPr>
                <w:rFonts w:eastAsia="仿宋_GB2312"/>
                <w:color w:val="000000"/>
                <w:sz w:val="30"/>
                <w:szCs w:val="30"/>
              </w:rPr>
            </w:pPr>
          </w:p>
        </w:tc>
        <w:tc>
          <w:tcPr>
            <w:tcW w:w="921" w:type="dxa"/>
            <w:noWrap w:val="0"/>
            <w:vAlign w:val="top"/>
          </w:tcPr>
          <w:p w14:paraId="49B4D71F">
            <w:pPr>
              <w:rPr>
                <w:rFonts w:eastAsia="仿宋_GB2312"/>
                <w:color w:val="000000"/>
                <w:sz w:val="30"/>
                <w:szCs w:val="30"/>
              </w:rPr>
            </w:pPr>
          </w:p>
        </w:tc>
      </w:tr>
      <w:tr w14:paraId="1345F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5B4537D">
            <w:pPr>
              <w:rPr>
                <w:rFonts w:eastAsia="仿宋_GB2312"/>
                <w:color w:val="000000"/>
                <w:sz w:val="30"/>
                <w:szCs w:val="30"/>
              </w:rPr>
            </w:pPr>
          </w:p>
        </w:tc>
        <w:tc>
          <w:tcPr>
            <w:tcW w:w="1418" w:type="dxa"/>
            <w:noWrap w:val="0"/>
            <w:vAlign w:val="top"/>
          </w:tcPr>
          <w:p w14:paraId="51F3B6D9">
            <w:pPr>
              <w:rPr>
                <w:rFonts w:eastAsia="仿宋_GB2312"/>
                <w:color w:val="000000"/>
                <w:sz w:val="30"/>
                <w:szCs w:val="30"/>
              </w:rPr>
            </w:pPr>
          </w:p>
        </w:tc>
        <w:tc>
          <w:tcPr>
            <w:tcW w:w="850" w:type="dxa"/>
            <w:noWrap w:val="0"/>
            <w:vAlign w:val="top"/>
          </w:tcPr>
          <w:p w14:paraId="058F3330">
            <w:pPr>
              <w:rPr>
                <w:rFonts w:eastAsia="仿宋_GB2312"/>
                <w:color w:val="000000"/>
                <w:sz w:val="30"/>
                <w:szCs w:val="30"/>
              </w:rPr>
            </w:pPr>
          </w:p>
        </w:tc>
        <w:tc>
          <w:tcPr>
            <w:tcW w:w="1058" w:type="dxa"/>
            <w:noWrap w:val="0"/>
            <w:vAlign w:val="top"/>
          </w:tcPr>
          <w:p w14:paraId="4E3A4D64">
            <w:pPr>
              <w:rPr>
                <w:rFonts w:eastAsia="仿宋_GB2312"/>
                <w:color w:val="000000"/>
                <w:sz w:val="30"/>
                <w:szCs w:val="30"/>
              </w:rPr>
            </w:pPr>
          </w:p>
        </w:tc>
        <w:tc>
          <w:tcPr>
            <w:tcW w:w="880" w:type="dxa"/>
            <w:noWrap w:val="0"/>
            <w:vAlign w:val="top"/>
          </w:tcPr>
          <w:p w14:paraId="7FBFE0FE">
            <w:pPr>
              <w:rPr>
                <w:rFonts w:eastAsia="仿宋_GB2312"/>
                <w:color w:val="000000"/>
                <w:sz w:val="30"/>
                <w:szCs w:val="30"/>
              </w:rPr>
            </w:pPr>
          </w:p>
        </w:tc>
        <w:tc>
          <w:tcPr>
            <w:tcW w:w="1020" w:type="dxa"/>
            <w:noWrap w:val="0"/>
            <w:vAlign w:val="top"/>
          </w:tcPr>
          <w:p w14:paraId="5A4459E0">
            <w:pPr>
              <w:rPr>
                <w:rFonts w:eastAsia="仿宋_GB2312"/>
                <w:color w:val="000000"/>
                <w:sz w:val="30"/>
                <w:szCs w:val="30"/>
              </w:rPr>
            </w:pPr>
          </w:p>
        </w:tc>
        <w:tc>
          <w:tcPr>
            <w:tcW w:w="1480" w:type="dxa"/>
            <w:noWrap w:val="0"/>
            <w:vAlign w:val="top"/>
          </w:tcPr>
          <w:p w14:paraId="5135B407">
            <w:pPr>
              <w:rPr>
                <w:rFonts w:eastAsia="仿宋_GB2312"/>
                <w:color w:val="000000"/>
                <w:sz w:val="30"/>
                <w:szCs w:val="30"/>
              </w:rPr>
            </w:pPr>
          </w:p>
        </w:tc>
        <w:tc>
          <w:tcPr>
            <w:tcW w:w="1020" w:type="dxa"/>
            <w:noWrap w:val="0"/>
            <w:vAlign w:val="top"/>
          </w:tcPr>
          <w:p w14:paraId="6146F9A6">
            <w:pPr>
              <w:rPr>
                <w:rFonts w:eastAsia="仿宋_GB2312"/>
                <w:color w:val="000000"/>
                <w:sz w:val="30"/>
                <w:szCs w:val="30"/>
              </w:rPr>
            </w:pPr>
          </w:p>
        </w:tc>
        <w:tc>
          <w:tcPr>
            <w:tcW w:w="921" w:type="dxa"/>
            <w:noWrap w:val="0"/>
            <w:vAlign w:val="top"/>
          </w:tcPr>
          <w:p w14:paraId="7FCBF02B">
            <w:pPr>
              <w:rPr>
                <w:rFonts w:eastAsia="仿宋_GB2312"/>
                <w:color w:val="000000"/>
                <w:sz w:val="30"/>
                <w:szCs w:val="30"/>
              </w:rPr>
            </w:pPr>
          </w:p>
        </w:tc>
      </w:tr>
      <w:tr w14:paraId="57605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57064B9">
            <w:pPr>
              <w:rPr>
                <w:rFonts w:eastAsia="仿宋_GB2312"/>
                <w:color w:val="000000"/>
                <w:sz w:val="30"/>
                <w:szCs w:val="30"/>
              </w:rPr>
            </w:pPr>
          </w:p>
        </w:tc>
        <w:tc>
          <w:tcPr>
            <w:tcW w:w="1418" w:type="dxa"/>
            <w:noWrap w:val="0"/>
            <w:vAlign w:val="top"/>
          </w:tcPr>
          <w:p w14:paraId="678B1935">
            <w:pPr>
              <w:rPr>
                <w:rFonts w:eastAsia="仿宋_GB2312"/>
                <w:color w:val="000000"/>
                <w:sz w:val="30"/>
                <w:szCs w:val="30"/>
              </w:rPr>
            </w:pPr>
          </w:p>
        </w:tc>
        <w:tc>
          <w:tcPr>
            <w:tcW w:w="850" w:type="dxa"/>
            <w:noWrap w:val="0"/>
            <w:vAlign w:val="top"/>
          </w:tcPr>
          <w:p w14:paraId="75C6F247">
            <w:pPr>
              <w:rPr>
                <w:rFonts w:eastAsia="仿宋_GB2312"/>
                <w:color w:val="000000"/>
                <w:sz w:val="30"/>
                <w:szCs w:val="30"/>
              </w:rPr>
            </w:pPr>
          </w:p>
        </w:tc>
        <w:tc>
          <w:tcPr>
            <w:tcW w:w="1058" w:type="dxa"/>
            <w:noWrap w:val="0"/>
            <w:vAlign w:val="top"/>
          </w:tcPr>
          <w:p w14:paraId="2791E379">
            <w:pPr>
              <w:rPr>
                <w:rFonts w:eastAsia="仿宋_GB2312"/>
                <w:color w:val="000000"/>
                <w:sz w:val="30"/>
                <w:szCs w:val="30"/>
              </w:rPr>
            </w:pPr>
          </w:p>
        </w:tc>
        <w:tc>
          <w:tcPr>
            <w:tcW w:w="880" w:type="dxa"/>
            <w:noWrap w:val="0"/>
            <w:vAlign w:val="top"/>
          </w:tcPr>
          <w:p w14:paraId="028F5DD6">
            <w:pPr>
              <w:rPr>
                <w:rFonts w:eastAsia="仿宋_GB2312"/>
                <w:color w:val="000000"/>
                <w:sz w:val="30"/>
                <w:szCs w:val="30"/>
              </w:rPr>
            </w:pPr>
          </w:p>
        </w:tc>
        <w:tc>
          <w:tcPr>
            <w:tcW w:w="1020" w:type="dxa"/>
            <w:noWrap w:val="0"/>
            <w:vAlign w:val="top"/>
          </w:tcPr>
          <w:p w14:paraId="10C7041A">
            <w:pPr>
              <w:rPr>
                <w:rFonts w:eastAsia="仿宋_GB2312"/>
                <w:color w:val="000000"/>
                <w:sz w:val="30"/>
                <w:szCs w:val="30"/>
              </w:rPr>
            </w:pPr>
          </w:p>
        </w:tc>
        <w:tc>
          <w:tcPr>
            <w:tcW w:w="1480" w:type="dxa"/>
            <w:noWrap w:val="0"/>
            <w:vAlign w:val="top"/>
          </w:tcPr>
          <w:p w14:paraId="5D4532C3">
            <w:pPr>
              <w:rPr>
                <w:rFonts w:eastAsia="仿宋_GB2312"/>
                <w:color w:val="000000"/>
                <w:sz w:val="30"/>
                <w:szCs w:val="30"/>
              </w:rPr>
            </w:pPr>
          </w:p>
        </w:tc>
        <w:tc>
          <w:tcPr>
            <w:tcW w:w="1020" w:type="dxa"/>
            <w:noWrap w:val="0"/>
            <w:vAlign w:val="top"/>
          </w:tcPr>
          <w:p w14:paraId="22C81501">
            <w:pPr>
              <w:rPr>
                <w:rFonts w:eastAsia="仿宋_GB2312"/>
                <w:color w:val="000000"/>
                <w:sz w:val="30"/>
                <w:szCs w:val="30"/>
              </w:rPr>
            </w:pPr>
          </w:p>
        </w:tc>
        <w:tc>
          <w:tcPr>
            <w:tcW w:w="921" w:type="dxa"/>
            <w:noWrap w:val="0"/>
            <w:vAlign w:val="top"/>
          </w:tcPr>
          <w:p w14:paraId="5A3BD7E9">
            <w:pPr>
              <w:rPr>
                <w:rFonts w:eastAsia="仿宋_GB2312"/>
                <w:color w:val="000000"/>
                <w:sz w:val="30"/>
                <w:szCs w:val="30"/>
              </w:rPr>
            </w:pPr>
          </w:p>
        </w:tc>
      </w:tr>
    </w:tbl>
    <w:p w14:paraId="54A361D0">
      <w:pPr>
        <w:spacing w:line="440" w:lineRule="exact"/>
        <w:rPr>
          <w:rFonts w:ascii="Times New Roman" w:hAnsi="Times New Roman" w:eastAsia="仿宋_GB2312"/>
          <w:color w:val="000000"/>
          <w:sz w:val="30"/>
          <w:szCs w:val="30"/>
        </w:rPr>
      </w:pPr>
    </w:p>
    <w:p w14:paraId="7FFFFA2C">
      <w:pPr>
        <w:spacing w:line="440" w:lineRule="exact"/>
        <w:rPr>
          <w:rFonts w:ascii="Times New Roman" w:hAnsi="Times New Roman" w:eastAsia="仿宋_GB2312"/>
          <w:color w:val="000000"/>
          <w:sz w:val="30"/>
          <w:szCs w:val="30"/>
        </w:rPr>
      </w:pPr>
    </w:p>
    <w:p w14:paraId="31AA7E58">
      <w:pPr>
        <w:spacing w:line="440" w:lineRule="exact"/>
        <w:rPr>
          <w:rFonts w:ascii="Times New Roman" w:hAnsi="Times New Roman" w:eastAsia="仿宋_GB2312"/>
          <w:color w:val="000000"/>
          <w:sz w:val="30"/>
          <w:szCs w:val="30"/>
        </w:rPr>
      </w:pPr>
    </w:p>
    <w:p w14:paraId="5C62F5DE">
      <w:pPr>
        <w:spacing w:line="440" w:lineRule="exact"/>
        <w:rPr>
          <w:rFonts w:ascii="Times New Roman" w:hAnsi="Times New Roman" w:eastAsia="仿宋_GB2312"/>
          <w:color w:val="000000"/>
          <w:sz w:val="30"/>
          <w:szCs w:val="30"/>
        </w:rPr>
      </w:pPr>
    </w:p>
    <w:p w14:paraId="153DC4E6">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67" w:name="_Toc296346729"/>
      <w:bookmarkStart w:id="968" w:name="_Toc296944567"/>
      <w:bookmarkStart w:id="969" w:name="_Toc296891268"/>
      <w:bookmarkStart w:id="970" w:name="_Toc296503228"/>
      <w:bookmarkStart w:id="971" w:name="_Toc267261699"/>
      <w:bookmarkStart w:id="972" w:name="_Toc296891056"/>
      <w:bookmarkStart w:id="973" w:name="_Toc296347227"/>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9</w:t>
      </w:r>
      <w:r>
        <w:rPr>
          <w:rFonts w:ascii="Times New Roman" w:hAnsi="Times New Roman" w:eastAsia="仿宋_GB2312"/>
          <w:color w:val="000000"/>
          <w:sz w:val="30"/>
          <w:szCs w:val="30"/>
        </w:rPr>
        <w:t>：</w:t>
      </w:r>
    </w:p>
    <w:bookmarkEnd w:id="967"/>
    <w:bookmarkEnd w:id="968"/>
    <w:bookmarkEnd w:id="969"/>
    <w:bookmarkEnd w:id="970"/>
    <w:bookmarkEnd w:id="971"/>
    <w:bookmarkEnd w:id="972"/>
    <w:bookmarkEnd w:id="973"/>
    <w:p w14:paraId="524CB89C">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承包人主要施工管理人员表</w:t>
      </w:r>
    </w:p>
    <w:tbl>
      <w:tblPr>
        <w:tblStyle w:val="5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23D9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A818BA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    称</w:t>
            </w:r>
          </w:p>
        </w:tc>
        <w:tc>
          <w:tcPr>
            <w:tcW w:w="1418" w:type="dxa"/>
            <w:tcBorders>
              <w:top w:val="single" w:color="auto" w:sz="12" w:space="0"/>
              <w:bottom w:val="double" w:color="auto" w:sz="6" w:space="0"/>
            </w:tcBorders>
            <w:noWrap w:val="0"/>
            <w:vAlign w:val="center"/>
          </w:tcPr>
          <w:p w14:paraId="036959A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姓名</w:t>
            </w:r>
          </w:p>
        </w:tc>
        <w:tc>
          <w:tcPr>
            <w:tcW w:w="1134" w:type="dxa"/>
            <w:tcBorders>
              <w:top w:val="single" w:color="auto" w:sz="12" w:space="0"/>
              <w:bottom w:val="double" w:color="auto" w:sz="6" w:space="0"/>
            </w:tcBorders>
            <w:noWrap w:val="0"/>
            <w:vAlign w:val="center"/>
          </w:tcPr>
          <w:p w14:paraId="0A36477A">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职务</w:t>
            </w:r>
          </w:p>
        </w:tc>
        <w:tc>
          <w:tcPr>
            <w:tcW w:w="1134" w:type="dxa"/>
            <w:tcBorders>
              <w:top w:val="single" w:color="auto" w:sz="12" w:space="0"/>
              <w:bottom w:val="double" w:color="auto" w:sz="6" w:space="0"/>
            </w:tcBorders>
            <w:noWrap w:val="0"/>
            <w:vAlign w:val="center"/>
          </w:tcPr>
          <w:p w14:paraId="42F5ADC5">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职称</w:t>
            </w:r>
          </w:p>
        </w:tc>
        <w:tc>
          <w:tcPr>
            <w:tcW w:w="4252" w:type="dxa"/>
            <w:tcBorders>
              <w:top w:val="single" w:color="auto" w:sz="12" w:space="0"/>
              <w:bottom w:val="double" w:color="auto" w:sz="6" w:space="0"/>
            </w:tcBorders>
            <w:noWrap w:val="0"/>
            <w:vAlign w:val="center"/>
          </w:tcPr>
          <w:p w14:paraId="71833F1F">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主要资历、经验及承担过的项目</w:t>
            </w:r>
          </w:p>
        </w:tc>
      </w:tr>
      <w:tr w14:paraId="4AA8D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08721C9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一、总部人员</w:t>
            </w:r>
          </w:p>
        </w:tc>
      </w:tr>
      <w:tr w14:paraId="4022F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4E219B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项目主管</w:t>
            </w:r>
          </w:p>
        </w:tc>
        <w:tc>
          <w:tcPr>
            <w:tcW w:w="1418" w:type="dxa"/>
            <w:tcBorders>
              <w:top w:val="nil"/>
            </w:tcBorders>
            <w:noWrap w:val="0"/>
            <w:vAlign w:val="center"/>
          </w:tcPr>
          <w:p w14:paraId="3A73BACF">
            <w:pPr>
              <w:pStyle w:val="2"/>
              <w:keepNext/>
              <w:spacing w:after="0" w:line="440" w:lineRule="exact"/>
              <w:ind w:left="63" w:right="63"/>
              <w:rPr>
                <w:rFonts w:eastAsia="仿宋_GB2312"/>
                <w:color w:val="000000"/>
                <w:kern w:val="2"/>
                <w:sz w:val="28"/>
                <w:szCs w:val="30"/>
                <w:lang w:val="en-US" w:eastAsia="zh-CN"/>
              </w:rPr>
            </w:pPr>
          </w:p>
        </w:tc>
        <w:tc>
          <w:tcPr>
            <w:tcW w:w="1134" w:type="dxa"/>
            <w:tcBorders>
              <w:top w:val="nil"/>
            </w:tcBorders>
            <w:noWrap w:val="0"/>
            <w:vAlign w:val="center"/>
          </w:tcPr>
          <w:p w14:paraId="7142060D">
            <w:pPr>
              <w:pStyle w:val="2"/>
              <w:keepNext/>
              <w:spacing w:after="0" w:line="440" w:lineRule="exact"/>
              <w:ind w:left="63" w:right="63"/>
              <w:rPr>
                <w:rFonts w:eastAsia="仿宋_GB2312"/>
                <w:color w:val="000000"/>
                <w:kern w:val="2"/>
                <w:sz w:val="30"/>
                <w:szCs w:val="30"/>
                <w:lang w:val="en-US" w:eastAsia="zh-CN"/>
              </w:rPr>
            </w:pPr>
          </w:p>
        </w:tc>
        <w:tc>
          <w:tcPr>
            <w:tcW w:w="1134" w:type="dxa"/>
            <w:tcBorders>
              <w:top w:val="nil"/>
            </w:tcBorders>
            <w:noWrap w:val="0"/>
            <w:vAlign w:val="center"/>
          </w:tcPr>
          <w:p w14:paraId="7691FD1D">
            <w:pPr>
              <w:pStyle w:val="2"/>
              <w:keepNext/>
              <w:spacing w:after="0" w:line="440" w:lineRule="exact"/>
              <w:ind w:left="63" w:right="63"/>
              <w:rPr>
                <w:rFonts w:eastAsia="仿宋_GB2312"/>
                <w:color w:val="000000"/>
                <w:kern w:val="2"/>
                <w:sz w:val="30"/>
                <w:szCs w:val="30"/>
                <w:lang w:val="en-US" w:eastAsia="zh-CN"/>
              </w:rPr>
            </w:pPr>
          </w:p>
        </w:tc>
        <w:tc>
          <w:tcPr>
            <w:tcW w:w="4252" w:type="dxa"/>
            <w:tcBorders>
              <w:top w:val="nil"/>
            </w:tcBorders>
            <w:noWrap w:val="0"/>
            <w:vAlign w:val="center"/>
          </w:tcPr>
          <w:p w14:paraId="6B1F6AF1">
            <w:pPr>
              <w:pStyle w:val="2"/>
              <w:keepNext/>
              <w:spacing w:after="0" w:line="440" w:lineRule="exact"/>
              <w:ind w:left="63" w:right="63"/>
              <w:rPr>
                <w:rFonts w:eastAsia="仿宋_GB2312"/>
                <w:color w:val="000000"/>
                <w:kern w:val="2"/>
                <w:sz w:val="30"/>
                <w:szCs w:val="30"/>
                <w:lang w:val="en-US" w:eastAsia="zh-CN"/>
              </w:rPr>
            </w:pPr>
          </w:p>
        </w:tc>
      </w:tr>
      <w:tr w14:paraId="3E572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16091BA">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734964B4">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7DCD1F16">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0B7B8C1">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8264BCD">
            <w:pPr>
              <w:pStyle w:val="2"/>
              <w:keepNext/>
              <w:spacing w:after="0" w:line="440" w:lineRule="exact"/>
              <w:ind w:left="63" w:right="63"/>
              <w:rPr>
                <w:rFonts w:eastAsia="仿宋_GB2312"/>
                <w:color w:val="000000"/>
                <w:kern w:val="2"/>
                <w:sz w:val="30"/>
                <w:szCs w:val="30"/>
                <w:lang w:val="en-US" w:eastAsia="zh-CN"/>
              </w:rPr>
            </w:pPr>
          </w:p>
        </w:tc>
      </w:tr>
      <w:tr w14:paraId="0BE19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83A554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104F6EA2">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49CE7394">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16B631E5">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05CAC0A8">
            <w:pPr>
              <w:pStyle w:val="2"/>
              <w:keepNext/>
              <w:spacing w:after="0" w:line="440" w:lineRule="exact"/>
              <w:ind w:left="63" w:right="63"/>
              <w:rPr>
                <w:rFonts w:eastAsia="仿宋_GB2312"/>
                <w:color w:val="000000"/>
                <w:kern w:val="2"/>
                <w:sz w:val="30"/>
                <w:szCs w:val="30"/>
                <w:lang w:val="en-US" w:eastAsia="zh-CN"/>
              </w:rPr>
            </w:pPr>
          </w:p>
        </w:tc>
      </w:tr>
      <w:tr w14:paraId="7E67B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12F3FB0">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0A452565">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3BD6EFD">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CB69FD1">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6B347E85">
            <w:pPr>
              <w:pStyle w:val="2"/>
              <w:keepNext/>
              <w:spacing w:after="0" w:line="440" w:lineRule="exact"/>
              <w:ind w:left="63" w:right="63"/>
              <w:rPr>
                <w:rFonts w:eastAsia="仿宋_GB2312"/>
                <w:color w:val="000000"/>
                <w:kern w:val="2"/>
                <w:sz w:val="30"/>
                <w:szCs w:val="30"/>
                <w:lang w:val="en-US" w:eastAsia="zh-CN"/>
              </w:rPr>
            </w:pPr>
          </w:p>
        </w:tc>
      </w:tr>
      <w:tr w14:paraId="3FC7C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837F40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二、现场人员</w:t>
            </w:r>
          </w:p>
        </w:tc>
      </w:tr>
      <w:tr w14:paraId="30CE1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52FF1F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项目经理</w:t>
            </w:r>
          </w:p>
        </w:tc>
        <w:tc>
          <w:tcPr>
            <w:tcW w:w="1418" w:type="dxa"/>
            <w:noWrap w:val="0"/>
            <w:vAlign w:val="center"/>
          </w:tcPr>
          <w:p w14:paraId="388FBF68">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DEB7982">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2FE2E61">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5E3AB8A">
            <w:pPr>
              <w:pStyle w:val="2"/>
              <w:keepNext/>
              <w:spacing w:after="0" w:line="440" w:lineRule="exact"/>
              <w:ind w:left="63" w:right="63"/>
              <w:rPr>
                <w:rFonts w:eastAsia="仿宋_GB2312"/>
                <w:color w:val="000000"/>
                <w:kern w:val="2"/>
                <w:sz w:val="30"/>
                <w:szCs w:val="30"/>
                <w:lang w:val="en-US" w:eastAsia="zh-CN"/>
              </w:rPr>
            </w:pPr>
          </w:p>
        </w:tc>
      </w:tr>
      <w:tr w14:paraId="743B5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78A20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项目副经理</w:t>
            </w:r>
          </w:p>
        </w:tc>
        <w:tc>
          <w:tcPr>
            <w:tcW w:w="1418" w:type="dxa"/>
            <w:noWrap w:val="0"/>
            <w:vAlign w:val="center"/>
          </w:tcPr>
          <w:p w14:paraId="5159F8A1">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4CA05BCD">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C67D9B2">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28CE4CE1">
            <w:pPr>
              <w:pStyle w:val="2"/>
              <w:keepNext/>
              <w:spacing w:after="0" w:line="440" w:lineRule="exact"/>
              <w:ind w:left="63" w:right="63"/>
              <w:rPr>
                <w:rFonts w:eastAsia="仿宋_GB2312"/>
                <w:color w:val="000000"/>
                <w:kern w:val="2"/>
                <w:sz w:val="30"/>
                <w:szCs w:val="30"/>
                <w:lang w:val="en-US" w:eastAsia="zh-CN"/>
              </w:rPr>
            </w:pPr>
          </w:p>
        </w:tc>
      </w:tr>
      <w:tr w14:paraId="3E24D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4B34C57">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技术负责人</w:t>
            </w:r>
          </w:p>
        </w:tc>
        <w:tc>
          <w:tcPr>
            <w:tcW w:w="1418" w:type="dxa"/>
            <w:noWrap w:val="0"/>
            <w:vAlign w:val="center"/>
          </w:tcPr>
          <w:p w14:paraId="655AD7E6">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00FE3AE">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EE225A2">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5F824D9">
            <w:pPr>
              <w:pStyle w:val="2"/>
              <w:keepNext/>
              <w:spacing w:after="0" w:line="440" w:lineRule="exact"/>
              <w:ind w:left="63" w:right="63"/>
              <w:rPr>
                <w:rFonts w:eastAsia="仿宋_GB2312"/>
                <w:color w:val="000000"/>
                <w:kern w:val="2"/>
                <w:sz w:val="30"/>
                <w:szCs w:val="30"/>
                <w:lang w:val="en-US" w:eastAsia="zh-CN"/>
              </w:rPr>
            </w:pPr>
          </w:p>
        </w:tc>
      </w:tr>
      <w:tr w14:paraId="4331A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213E8D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造价管理</w:t>
            </w:r>
          </w:p>
        </w:tc>
        <w:tc>
          <w:tcPr>
            <w:tcW w:w="1418" w:type="dxa"/>
            <w:noWrap w:val="0"/>
            <w:vAlign w:val="center"/>
          </w:tcPr>
          <w:p w14:paraId="016F2C17">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7935073B">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D935C8D">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F4C5FE7">
            <w:pPr>
              <w:pStyle w:val="2"/>
              <w:keepNext/>
              <w:spacing w:after="0" w:line="440" w:lineRule="exact"/>
              <w:ind w:left="63" w:right="63"/>
              <w:rPr>
                <w:rFonts w:eastAsia="仿宋_GB2312"/>
                <w:color w:val="000000"/>
                <w:kern w:val="2"/>
                <w:sz w:val="30"/>
                <w:szCs w:val="30"/>
                <w:lang w:val="en-US" w:eastAsia="zh-CN"/>
              </w:rPr>
            </w:pPr>
          </w:p>
        </w:tc>
      </w:tr>
      <w:tr w14:paraId="17F32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DAB8C6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质量管理</w:t>
            </w:r>
          </w:p>
        </w:tc>
        <w:tc>
          <w:tcPr>
            <w:tcW w:w="1418" w:type="dxa"/>
            <w:noWrap w:val="0"/>
            <w:vAlign w:val="center"/>
          </w:tcPr>
          <w:p w14:paraId="364B57FD">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309E01E">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A16460F">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263F94E8">
            <w:pPr>
              <w:pStyle w:val="2"/>
              <w:keepNext/>
              <w:spacing w:after="0" w:line="440" w:lineRule="exact"/>
              <w:ind w:left="63" w:right="63"/>
              <w:rPr>
                <w:rFonts w:eastAsia="仿宋_GB2312"/>
                <w:color w:val="000000"/>
                <w:kern w:val="2"/>
                <w:sz w:val="30"/>
                <w:szCs w:val="30"/>
                <w:lang w:val="en-US" w:eastAsia="zh-CN"/>
              </w:rPr>
            </w:pPr>
          </w:p>
        </w:tc>
      </w:tr>
      <w:tr w14:paraId="6A7AD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521F9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材料管理</w:t>
            </w:r>
          </w:p>
        </w:tc>
        <w:tc>
          <w:tcPr>
            <w:tcW w:w="1418" w:type="dxa"/>
            <w:noWrap w:val="0"/>
            <w:vAlign w:val="center"/>
          </w:tcPr>
          <w:p w14:paraId="01370781">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5FA6411">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423E0AD">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4A8E400">
            <w:pPr>
              <w:pStyle w:val="2"/>
              <w:keepNext/>
              <w:spacing w:after="0" w:line="440" w:lineRule="exact"/>
              <w:ind w:left="63" w:right="63"/>
              <w:rPr>
                <w:rFonts w:eastAsia="仿宋_GB2312"/>
                <w:color w:val="000000"/>
                <w:kern w:val="2"/>
                <w:sz w:val="30"/>
                <w:szCs w:val="30"/>
                <w:lang w:val="en-US" w:eastAsia="zh-CN"/>
              </w:rPr>
            </w:pPr>
          </w:p>
        </w:tc>
      </w:tr>
      <w:tr w14:paraId="1794D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91D374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计划管理</w:t>
            </w:r>
          </w:p>
        </w:tc>
        <w:tc>
          <w:tcPr>
            <w:tcW w:w="1418" w:type="dxa"/>
            <w:noWrap w:val="0"/>
            <w:vAlign w:val="center"/>
          </w:tcPr>
          <w:p w14:paraId="11E4C676">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A05053E">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8BC9FBE">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7960A7C">
            <w:pPr>
              <w:pStyle w:val="2"/>
              <w:keepNext/>
              <w:spacing w:after="0" w:line="440" w:lineRule="exact"/>
              <w:ind w:left="63" w:right="63"/>
              <w:rPr>
                <w:rFonts w:eastAsia="仿宋_GB2312"/>
                <w:color w:val="000000"/>
                <w:kern w:val="2"/>
                <w:sz w:val="30"/>
                <w:szCs w:val="30"/>
                <w:lang w:val="en-US" w:eastAsia="zh-CN"/>
              </w:rPr>
            </w:pPr>
          </w:p>
        </w:tc>
      </w:tr>
      <w:tr w14:paraId="26518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56480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安全管理</w:t>
            </w:r>
          </w:p>
        </w:tc>
        <w:tc>
          <w:tcPr>
            <w:tcW w:w="1418" w:type="dxa"/>
            <w:noWrap w:val="0"/>
            <w:vAlign w:val="center"/>
          </w:tcPr>
          <w:p w14:paraId="4E0DB0B3">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CCA2822">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11F90AC6">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8809651">
            <w:pPr>
              <w:pStyle w:val="2"/>
              <w:keepNext/>
              <w:spacing w:after="0" w:line="440" w:lineRule="exact"/>
              <w:ind w:left="63" w:right="63"/>
              <w:rPr>
                <w:rFonts w:eastAsia="仿宋_GB2312"/>
                <w:color w:val="000000"/>
                <w:kern w:val="2"/>
                <w:sz w:val="30"/>
                <w:szCs w:val="30"/>
                <w:lang w:val="en-US" w:eastAsia="zh-CN"/>
              </w:rPr>
            </w:pPr>
          </w:p>
        </w:tc>
      </w:tr>
      <w:tr w14:paraId="2F253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5FEF7B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7F8C670B">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2119136">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3C73232F">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64C1609">
            <w:pPr>
              <w:pStyle w:val="2"/>
              <w:keepNext/>
              <w:spacing w:after="0" w:line="440" w:lineRule="exact"/>
              <w:ind w:left="63" w:right="63"/>
              <w:rPr>
                <w:rFonts w:eastAsia="仿宋_GB2312"/>
                <w:color w:val="000000"/>
                <w:kern w:val="2"/>
                <w:sz w:val="30"/>
                <w:szCs w:val="30"/>
                <w:lang w:val="en-US" w:eastAsia="zh-CN"/>
              </w:rPr>
            </w:pPr>
          </w:p>
        </w:tc>
      </w:tr>
      <w:tr w14:paraId="22DCA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8601F79">
            <w:pPr>
              <w:pStyle w:val="2"/>
              <w:keepNext/>
              <w:spacing w:after="0" w:line="440" w:lineRule="exact"/>
              <w:ind w:left="63" w:right="63"/>
              <w:rPr>
                <w:rFonts w:eastAsia="仿宋_GB2312"/>
                <w:color w:val="000000"/>
                <w:kern w:val="2"/>
                <w:sz w:val="28"/>
                <w:szCs w:val="30"/>
                <w:lang w:val="en-US" w:eastAsia="zh-CN"/>
              </w:rPr>
            </w:pPr>
          </w:p>
        </w:tc>
        <w:tc>
          <w:tcPr>
            <w:tcW w:w="1418" w:type="dxa"/>
            <w:tcBorders>
              <w:bottom w:val="nil"/>
            </w:tcBorders>
            <w:noWrap w:val="0"/>
            <w:vAlign w:val="center"/>
          </w:tcPr>
          <w:p w14:paraId="176F6279">
            <w:pPr>
              <w:pStyle w:val="2"/>
              <w:keepNext/>
              <w:spacing w:after="0" w:line="440" w:lineRule="exact"/>
              <w:ind w:left="63" w:right="63"/>
              <w:rPr>
                <w:rFonts w:eastAsia="仿宋_GB2312"/>
                <w:color w:val="000000"/>
                <w:kern w:val="2"/>
                <w:sz w:val="28"/>
                <w:szCs w:val="30"/>
                <w:lang w:val="en-US" w:eastAsia="zh-CN"/>
              </w:rPr>
            </w:pPr>
          </w:p>
        </w:tc>
        <w:tc>
          <w:tcPr>
            <w:tcW w:w="1134" w:type="dxa"/>
            <w:tcBorders>
              <w:bottom w:val="nil"/>
            </w:tcBorders>
            <w:noWrap w:val="0"/>
            <w:vAlign w:val="center"/>
          </w:tcPr>
          <w:p w14:paraId="1A95341F">
            <w:pPr>
              <w:pStyle w:val="2"/>
              <w:keepNext/>
              <w:spacing w:after="0" w:line="440" w:lineRule="exact"/>
              <w:ind w:left="63" w:right="63"/>
              <w:rPr>
                <w:rFonts w:eastAsia="仿宋_GB2312"/>
                <w:color w:val="000000"/>
                <w:kern w:val="2"/>
                <w:sz w:val="30"/>
                <w:szCs w:val="30"/>
                <w:lang w:val="en-US" w:eastAsia="zh-CN"/>
              </w:rPr>
            </w:pPr>
          </w:p>
        </w:tc>
        <w:tc>
          <w:tcPr>
            <w:tcW w:w="1134" w:type="dxa"/>
            <w:tcBorders>
              <w:bottom w:val="nil"/>
            </w:tcBorders>
            <w:noWrap w:val="0"/>
            <w:vAlign w:val="center"/>
          </w:tcPr>
          <w:p w14:paraId="558DC5A0">
            <w:pPr>
              <w:pStyle w:val="2"/>
              <w:keepNext/>
              <w:spacing w:after="0" w:line="440" w:lineRule="exact"/>
              <w:ind w:left="63" w:right="63"/>
              <w:rPr>
                <w:rFonts w:eastAsia="仿宋_GB2312"/>
                <w:color w:val="000000"/>
                <w:kern w:val="2"/>
                <w:sz w:val="30"/>
                <w:szCs w:val="30"/>
                <w:lang w:val="en-US" w:eastAsia="zh-CN"/>
              </w:rPr>
            </w:pPr>
          </w:p>
        </w:tc>
        <w:tc>
          <w:tcPr>
            <w:tcW w:w="4252" w:type="dxa"/>
            <w:tcBorders>
              <w:bottom w:val="nil"/>
            </w:tcBorders>
            <w:noWrap w:val="0"/>
            <w:vAlign w:val="center"/>
          </w:tcPr>
          <w:p w14:paraId="7BC3D33A">
            <w:pPr>
              <w:pStyle w:val="2"/>
              <w:keepNext/>
              <w:spacing w:after="0" w:line="440" w:lineRule="exact"/>
              <w:ind w:left="63" w:right="63"/>
              <w:rPr>
                <w:rFonts w:eastAsia="仿宋_GB2312"/>
                <w:color w:val="000000"/>
                <w:kern w:val="2"/>
                <w:sz w:val="30"/>
                <w:szCs w:val="30"/>
                <w:lang w:val="en-US" w:eastAsia="zh-CN"/>
              </w:rPr>
            </w:pPr>
          </w:p>
        </w:tc>
      </w:tr>
      <w:tr w14:paraId="2752F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79027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251CD28C">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6BE3CC0D">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9FAA5A0">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8F449D6">
            <w:pPr>
              <w:pStyle w:val="2"/>
              <w:keepNext/>
              <w:spacing w:after="0" w:line="440" w:lineRule="exact"/>
              <w:ind w:left="63" w:right="63"/>
              <w:rPr>
                <w:rFonts w:eastAsia="仿宋_GB2312"/>
                <w:color w:val="000000"/>
                <w:kern w:val="2"/>
                <w:sz w:val="30"/>
                <w:szCs w:val="30"/>
                <w:lang w:val="en-US" w:eastAsia="zh-CN"/>
              </w:rPr>
            </w:pPr>
          </w:p>
        </w:tc>
      </w:tr>
      <w:tr w14:paraId="6BB8F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39CE68F">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7AF01543">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6F55B81C">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C874676">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0CB4D244">
            <w:pPr>
              <w:pStyle w:val="2"/>
              <w:keepNext/>
              <w:spacing w:after="0" w:line="440" w:lineRule="exact"/>
              <w:ind w:left="63" w:right="63"/>
              <w:rPr>
                <w:rFonts w:eastAsia="仿宋_GB2312"/>
                <w:color w:val="000000"/>
                <w:kern w:val="2"/>
                <w:sz w:val="30"/>
                <w:szCs w:val="30"/>
                <w:lang w:val="en-US" w:eastAsia="zh-CN"/>
              </w:rPr>
            </w:pPr>
          </w:p>
        </w:tc>
      </w:tr>
      <w:tr w14:paraId="18264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8FFF4A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72569ED1">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36D36B5">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2FD0C7A">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6E82B651">
            <w:pPr>
              <w:pStyle w:val="2"/>
              <w:keepNext/>
              <w:spacing w:after="0" w:line="440" w:lineRule="exact"/>
              <w:ind w:left="63" w:right="63"/>
              <w:rPr>
                <w:rFonts w:eastAsia="仿宋_GB2312"/>
                <w:color w:val="000000"/>
                <w:kern w:val="2"/>
                <w:sz w:val="30"/>
                <w:szCs w:val="30"/>
                <w:lang w:val="en-US" w:eastAsia="zh-CN"/>
              </w:rPr>
            </w:pPr>
          </w:p>
        </w:tc>
      </w:tr>
      <w:tr w14:paraId="2D125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385C61C">
            <w:pPr>
              <w:pStyle w:val="2"/>
              <w:keepNext/>
              <w:spacing w:after="0" w:line="440" w:lineRule="exact"/>
              <w:ind w:left="63" w:right="63"/>
              <w:rPr>
                <w:rFonts w:eastAsia="仿宋_GB2312"/>
                <w:color w:val="000000"/>
                <w:kern w:val="2"/>
                <w:sz w:val="28"/>
                <w:szCs w:val="30"/>
                <w:lang w:val="en-US" w:eastAsia="zh-CN"/>
              </w:rPr>
            </w:pPr>
          </w:p>
        </w:tc>
        <w:tc>
          <w:tcPr>
            <w:tcW w:w="1418" w:type="dxa"/>
            <w:tcBorders>
              <w:bottom w:val="single" w:color="auto" w:sz="12" w:space="0"/>
            </w:tcBorders>
            <w:noWrap w:val="0"/>
            <w:vAlign w:val="center"/>
          </w:tcPr>
          <w:p w14:paraId="31A2F52A">
            <w:pPr>
              <w:pStyle w:val="2"/>
              <w:keepNext/>
              <w:spacing w:after="0" w:line="440" w:lineRule="exact"/>
              <w:ind w:left="63" w:right="63"/>
              <w:rPr>
                <w:rFonts w:eastAsia="仿宋_GB2312"/>
                <w:color w:val="000000"/>
                <w:kern w:val="2"/>
                <w:sz w:val="28"/>
                <w:szCs w:val="30"/>
                <w:lang w:val="en-US" w:eastAsia="zh-CN"/>
              </w:rPr>
            </w:pPr>
          </w:p>
        </w:tc>
        <w:tc>
          <w:tcPr>
            <w:tcW w:w="1134" w:type="dxa"/>
            <w:tcBorders>
              <w:bottom w:val="single" w:color="auto" w:sz="12" w:space="0"/>
            </w:tcBorders>
            <w:noWrap w:val="0"/>
            <w:vAlign w:val="center"/>
          </w:tcPr>
          <w:p w14:paraId="74B922A1">
            <w:pPr>
              <w:pStyle w:val="2"/>
              <w:keepNext/>
              <w:spacing w:after="0" w:line="440" w:lineRule="exact"/>
              <w:ind w:left="63" w:right="63"/>
              <w:rPr>
                <w:rFonts w:eastAsia="仿宋_GB2312"/>
                <w:color w:val="000000"/>
                <w:kern w:val="2"/>
                <w:sz w:val="30"/>
                <w:szCs w:val="30"/>
                <w:lang w:val="en-US" w:eastAsia="zh-CN"/>
              </w:rPr>
            </w:pPr>
          </w:p>
        </w:tc>
        <w:tc>
          <w:tcPr>
            <w:tcW w:w="1134" w:type="dxa"/>
            <w:tcBorders>
              <w:bottom w:val="single" w:color="auto" w:sz="12" w:space="0"/>
            </w:tcBorders>
            <w:noWrap w:val="0"/>
            <w:vAlign w:val="center"/>
          </w:tcPr>
          <w:p w14:paraId="5322E768">
            <w:pPr>
              <w:pStyle w:val="2"/>
              <w:keepNext/>
              <w:spacing w:after="0" w:line="440" w:lineRule="exact"/>
              <w:ind w:left="63" w:right="63"/>
              <w:rPr>
                <w:rFonts w:eastAsia="仿宋_GB2312"/>
                <w:color w:val="000000"/>
                <w:kern w:val="2"/>
                <w:sz w:val="30"/>
                <w:szCs w:val="30"/>
                <w:lang w:val="en-US" w:eastAsia="zh-CN"/>
              </w:rPr>
            </w:pPr>
          </w:p>
        </w:tc>
        <w:tc>
          <w:tcPr>
            <w:tcW w:w="4252" w:type="dxa"/>
            <w:tcBorders>
              <w:bottom w:val="single" w:color="auto" w:sz="12" w:space="0"/>
            </w:tcBorders>
            <w:noWrap w:val="0"/>
            <w:vAlign w:val="center"/>
          </w:tcPr>
          <w:p w14:paraId="1F2CDEC4">
            <w:pPr>
              <w:pStyle w:val="2"/>
              <w:keepNext/>
              <w:spacing w:after="0" w:line="440" w:lineRule="exact"/>
              <w:ind w:left="63" w:right="63"/>
              <w:rPr>
                <w:rFonts w:eastAsia="仿宋_GB2312"/>
                <w:color w:val="000000"/>
                <w:kern w:val="2"/>
                <w:sz w:val="30"/>
                <w:szCs w:val="30"/>
                <w:lang w:val="en-US" w:eastAsia="zh-CN"/>
              </w:rPr>
            </w:pPr>
          </w:p>
        </w:tc>
      </w:tr>
    </w:tbl>
    <w:p w14:paraId="39A26F84">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w:t>
      </w:r>
      <w:bookmarkStart w:id="974" w:name="_Toc296346730"/>
      <w:bookmarkStart w:id="975" w:name="_Toc296891269"/>
      <w:bookmarkStart w:id="976" w:name="_Toc296347228"/>
      <w:bookmarkStart w:id="977" w:name="_Toc296944568"/>
      <w:bookmarkStart w:id="978" w:name="_Toc296503229"/>
      <w:bookmarkStart w:id="979" w:name="_Toc296891057"/>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10</w:t>
      </w:r>
      <w:r>
        <w:rPr>
          <w:rFonts w:ascii="Times New Roman" w:hAnsi="Times New Roman" w:eastAsia="仿宋_GB2312"/>
          <w:color w:val="000000"/>
          <w:sz w:val="30"/>
          <w:szCs w:val="30"/>
        </w:rPr>
        <w:t>：</w:t>
      </w:r>
    </w:p>
    <w:bookmarkEnd w:id="974"/>
    <w:bookmarkEnd w:id="975"/>
    <w:bookmarkEnd w:id="976"/>
    <w:bookmarkEnd w:id="977"/>
    <w:bookmarkEnd w:id="978"/>
    <w:bookmarkEnd w:id="979"/>
    <w:p w14:paraId="6FD28706">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分包人主要施工管理人员表</w:t>
      </w:r>
    </w:p>
    <w:tbl>
      <w:tblPr>
        <w:tblStyle w:val="5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88EF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78341A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    称</w:t>
            </w:r>
          </w:p>
        </w:tc>
        <w:tc>
          <w:tcPr>
            <w:tcW w:w="1418" w:type="dxa"/>
            <w:tcBorders>
              <w:top w:val="single" w:color="auto" w:sz="12" w:space="0"/>
              <w:bottom w:val="double" w:color="auto" w:sz="6" w:space="0"/>
            </w:tcBorders>
            <w:noWrap w:val="0"/>
            <w:vAlign w:val="center"/>
          </w:tcPr>
          <w:p w14:paraId="2624424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姓名</w:t>
            </w:r>
          </w:p>
        </w:tc>
        <w:tc>
          <w:tcPr>
            <w:tcW w:w="1134" w:type="dxa"/>
            <w:tcBorders>
              <w:top w:val="single" w:color="auto" w:sz="12" w:space="0"/>
              <w:bottom w:val="double" w:color="auto" w:sz="6" w:space="0"/>
            </w:tcBorders>
            <w:noWrap w:val="0"/>
            <w:vAlign w:val="center"/>
          </w:tcPr>
          <w:p w14:paraId="118000A8">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职务</w:t>
            </w:r>
          </w:p>
        </w:tc>
        <w:tc>
          <w:tcPr>
            <w:tcW w:w="1134" w:type="dxa"/>
            <w:tcBorders>
              <w:top w:val="single" w:color="auto" w:sz="12" w:space="0"/>
              <w:bottom w:val="double" w:color="auto" w:sz="6" w:space="0"/>
            </w:tcBorders>
            <w:noWrap w:val="0"/>
            <w:vAlign w:val="center"/>
          </w:tcPr>
          <w:p w14:paraId="7EA0CD5D">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职称</w:t>
            </w:r>
          </w:p>
        </w:tc>
        <w:tc>
          <w:tcPr>
            <w:tcW w:w="4252" w:type="dxa"/>
            <w:tcBorders>
              <w:top w:val="single" w:color="auto" w:sz="12" w:space="0"/>
              <w:bottom w:val="double" w:color="auto" w:sz="6" w:space="0"/>
            </w:tcBorders>
            <w:noWrap w:val="0"/>
            <w:vAlign w:val="center"/>
          </w:tcPr>
          <w:p w14:paraId="13575DD5">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主要资历、经验及承担过的项目</w:t>
            </w:r>
          </w:p>
        </w:tc>
      </w:tr>
      <w:tr w14:paraId="108B4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45C82A9">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一、总部人员</w:t>
            </w:r>
          </w:p>
        </w:tc>
      </w:tr>
      <w:tr w14:paraId="6759B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1DA423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项目主管</w:t>
            </w:r>
          </w:p>
        </w:tc>
        <w:tc>
          <w:tcPr>
            <w:tcW w:w="1418" w:type="dxa"/>
            <w:tcBorders>
              <w:top w:val="nil"/>
            </w:tcBorders>
            <w:noWrap w:val="0"/>
            <w:vAlign w:val="center"/>
          </w:tcPr>
          <w:p w14:paraId="264AEB8A">
            <w:pPr>
              <w:pStyle w:val="2"/>
              <w:keepNext/>
              <w:spacing w:after="0" w:line="440" w:lineRule="exact"/>
              <w:ind w:left="63" w:right="63"/>
              <w:rPr>
                <w:rFonts w:eastAsia="仿宋_GB2312"/>
                <w:color w:val="000000"/>
                <w:kern w:val="2"/>
                <w:sz w:val="28"/>
                <w:szCs w:val="30"/>
                <w:lang w:val="en-US" w:eastAsia="zh-CN"/>
              </w:rPr>
            </w:pPr>
          </w:p>
        </w:tc>
        <w:tc>
          <w:tcPr>
            <w:tcW w:w="1134" w:type="dxa"/>
            <w:tcBorders>
              <w:top w:val="nil"/>
            </w:tcBorders>
            <w:noWrap w:val="0"/>
            <w:vAlign w:val="center"/>
          </w:tcPr>
          <w:p w14:paraId="082D2ACE">
            <w:pPr>
              <w:pStyle w:val="2"/>
              <w:keepNext/>
              <w:spacing w:after="0" w:line="440" w:lineRule="exact"/>
              <w:ind w:left="63" w:right="63"/>
              <w:rPr>
                <w:rFonts w:eastAsia="仿宋_GB2312"/>
                <w:color w:val="000000"/>
                <w:kern w:val="2"/>
                <w:sz w:val="30"/>
                <w:szCs w:val="30"/>
                <w:lang w:val="en-US" w:eastAsia="zh-CN"/>
              </w:rPr>
            </w:pPr>
          </w:p>
        </w:tc>
        <w:tc>
          <w:tcPr>
            <w:tcW w:w="1134" w:type="dxa"/>
            <w:tcBorders>
              <w:top w:val="nil"/>
            </w:tcBorders>
            <w:noWrap w:val="0"/>
            <w:vAlign w:val="center"/>
          </w:tcPr>
          <w:p w14:paraId="04294BDB">
            <w:pPr>
              <w:pStyle w:val="2"/>
              <w:keepNext/>
              <w:spacing w:after="0" w:line="440" w:lineRule="exact"/>
              <w:ind w:left="63" w:right="63"/>
              <w:rPr>
                <w:rFonts w:eastAsia="仿宋_GB2312"/>
                <w:color w:val="000000"/>
                <w:kern w:val="2"/>
                <w:sz w:val="30"/>
                <w:szCs w:val="30"/>
                <w:lang w:val="en-US" w:eastAsia="zh-CN"/>
              </w:rPr>
            </w:pPr>
          </w:p>
        </w:tc>
        <w:tc>
          <w:tcPr>
            <w:tcW w:w="4252" w:type="dxa"/>
            <w:tcBorders>
              <w:top w:val="nil"/>
            </w:tcBorders>
            <w:noWrap w:val="0"/>
            <w:vAlign w:val="center"/>
          </w:tcPr>
          <w:p w14:paraId="2C1FD7FA">
            <w:pPr>
              <w:pStyle w:val="2"/>
              <w:keepNext/>
              <w:spacing w:after="0" w:line="440" w:lineRule="exact"/>
              <w:ind w:left="63" w:right="63"/>
              <w:rPr>
                <w:rFonts w:eastAsia="仿宋_GB2312"/>
                <w:color w:val="000000"/>
                <w:kern w:val="2"/>
                <w:sz w:val="30"/>
                <w:szCs w:val="30"/>
                <w:lang w:val="en-US" w:eastAsia="zh-CN"/>
              </w:rPr>
            </w:pPr>
          </w:p>
        </w:tc>
      </w:tr>
      <w:tr w14:paraId="23DC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78C58BE9">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0BD79CDB">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E6650BA">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3DDB11A6">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E074FDA">
            <w:pPr>
              <w:pStyle w:val="2"/>
              <w:keepNext/>
              <w:spacing w:after="0" w:line="440" w:lineRule="exact"/>
              <w:ind w:left="63" w:right="63"/>
              <w:rPr>
                <w:rFonts w:eastAsia="仿宋_GB2312"/>
                <w:color w:val="000000"/>
                <w:kern w:val="2"/>
                <w:sz w:val="30"/>
                <w:szCs w:val="30"/>
                <w:lang w:val="en-US" w:eastAsia="zh-CN"/>
              </w:rPr>
            </w:pPr>
          </w:p>
        </w:tc>
      </w:tr>
      <w:tr w14:paraId="57A28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794C02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4DC753E5">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A706A84">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BB167FE">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7A3C2DD0">
            <w:pPr>
              <w:pStyle w:val="2"/>
              <w:keepNext/>
              <w:spacing w:after="0" w:line="440" w:lineRule="exact"/>
              <w:ind w:left="63" w:right="63"/>
              <w:rPr>
                <w:rFonts w:eastAsia="仿宋_GB2312"/>
                <w:color w:val="000000"/>
                <w:kern w:val="2"/>
                <w:sz w:val="30"/>
                <w:szCs w:val="30"/>
                <w:lang w:val="en-US" w:eastAsia="zh-CN"/>
              </w:rPr>
            </w:pPr>
          </w:p>
        </w:tc>
      </w:tr>
      <w:tr w14:paraId="1348A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F4C4A73">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3BB23AC7">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632A73CF">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3696DA16">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687CF8A0">
            <w:pPr>
              <w:pStyle w:val="2"/>
              <w:keepNext/>
              <w:spacing w:after="0" w:line="440" w:lineRule="exact"/>
              <w:ind w:left="63" w:right="63"/>
              <w:rPr>
                <w:rFonts w:eastAsia="仿宋_GB2312"/>
                <w:color w:val="000000"/>
                <w:kern w:val="2"/>
                <w:sz w:val="30"/>
                <w:szCs w:val="30"/>
                <w:lang w:val="en-US" w:eastAsia="zh-CN"/>
              </w:rPr>
            </w:pPr>
          </w:p>
        </w:tc>
      </w:tr>
      <w:tr w14:paraId="6CFEA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11D11A4B">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二、现场人员</w:t>
            </w:r>
          </w:p>
        </w:tc>
      </w:tr>
      <w:tr w14:paraId="588CE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A28E8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项目经理</w:t>
            </w:r>
          </w:p>
        </w:tc>
        <w:tc>
          <w:tcPr>
            <w:tcW w:w="1418" w:type="dxa"/>
            <w:noWrap w:val="0"/>
            <w:vAlign w:val="center"/>
          </w:tcPr>
          <w:p w14:paraId="37DDF356">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31AD96CF">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18447D2">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E62B64F">
            <w:pPr>
              <w:pStyle w:val="2"/>
              <w:keepNext/>
              <w:spacing w:after="0" w:line="440" w:lineRule="exact"/>
              <w:ind w:left="63" w:right="63"/>
              <w:rPr>
                <w:rFonts w:eastAsia="仿宋_GB2312"/>
                <w:color w:val="000000"/>
                <w:kern w:val="2"/>
                <w:sz w:val="30"/>
                <w:szCs w:val="30"/>
                <w:lang w:val="en-US" w:eastAsia="zh-CN"/>
              </w:rPr>
            </w:pPr>
          </w:p>
        </w:tc>
      </w:tr>
      <w:tr w14:paraId="795E3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96A79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项目副经理</w:t>
            </w:r>
          </w:p>
        </w:tc>
        <w:tc>
          <w:tcPr>
            <w:tcW w:w="1418" w:type="dxa"/>
            <w:noWrap w:val="0"/>
            <w:vAlign w:val="center"/>
          </w:tcPr>
          <w:p w14:paraId="3600EF62">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CBE4E27">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8ED20C7">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7AB8A4B">
            <w:pPr>
              <w:pStyle w:val="2"/>
              <w:keepNext/>
              <w:spacing w:after="0" w:line="440" w:lineRule="exact"/>
              <w:ind w:left="63" w:right="63"/>
              <w:rPr>
                <w:rFonts w:eastAsia="仿宋_GB2312"/>
                <w:color w:val="000000"/>
                <w:kern w:val="2"/>
                <w:sz w:val="30"/>
                <w:szCs w:val="30"/>
                <w:lang w:val="en-US" w:eastAsia="zh-CN"/>
              </w:rPr>
            </w:pPr>
          </w:p>
        </w:tc>
      </w:tr>
      <w:tr w14:paraId="4FE43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433C4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技术负责人</w:t>
            </w:r>
          </w:p>
        </w:tc>
        <w:tc>
          <w:tcPr>
            <w:tcW w:w="1418" w:type="dxa"/>
            <w:noWrap w:val="0"/>
            <w:vAlign w:val="center"/>
          </w:tcPr>
          <w:p w14:paraId="4AAA7B03">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76AAB1C6">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5296F51">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5B6B424">
            <w:pPr>
              <w:pStyle w:val="2"/>
              <w:keepNext/>
              <w:spacing w:after="0" w:line="440" w:lineRule="exact"/>
              <w:ind w:left="63" w:right="63"/>
              <w:rPr>
                <w:rFonts w:eastAsia="仿宋_GB2312"/>
                <w:color w:val="000000"/>
                <w:kern w:val="2"/>
                <w:sz w:val="30"/>
                <w:szCs w:val="30"/>
                <w:lang w:val="en-US" w:eastAsia="zh-CN"/>
              </w:rPr>
            </w:pPr>
          </w:p>
        </w:tc>
      </w:tr>
      <w:tr w14:paraId="1FC22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A5F24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造价管理</w:t>
            </w:r>
          </w:p>
        </w:tc>
        <w:tc>
          <w:tcPr>
            <w:tcW w:w="1418" w:type="dxa"/>
            <w:noWrap w:val="0"/>
            <w:vAlign w:val="center"/>
          </w:tcPr>
          <w:p w14:paraId="6FFC0858">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42D39E03">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66D69D7">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AC9C4F2">
            <w:pPr>
              <w:pStyle w:val="2"/>
              <w:keepNext/>
              <w:spacing w:after="0" w:line="440" w:lineRule="exact"/>
              <w:ind w:left="63" w:right="63"/>
              <w:rPr>
                <w:rFonts w:eastAsia="仿宋_GB2312"/>
                <w:color w:val="000000"/>
                <w:kern w:val="2"/>
                <w:sz w:val="30"/>
                <w:szCs w:val="30"/>
                <w:lang w:val="en-US" w:eastAsia="zh-CN"/>
              </w:rPr>
            </w:pPr>
          </w:p>
        </w:tc>
      </w:tr>
      <w:tr w14:paraId="7BF06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ABAB6B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质量管理</w:t>
            </w:r>
          </w:p>
        </w:tc>
        <w:tc>
          <w:tcPr>
            <w:tcW w:w="1418" w:type="dxa"/>
            <w:noWrap w:val="0"/>
            <w:vAlign w:val="center"/>
          </w:tcPr>
          <w:p w14:paraId="29B40F92">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4B3CD147">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7E9D7A3">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1F84261">
            <w:pPr>
              <w:pStyle w:val="2"/>
              <w:keepNext/>
              <w:spacing w:after="0" w:line="440" w:lineRule="exact"/>
              <w:ind w:left="63" w:right="63"/>
              <w:rPr>
                <w:rFonts w:eastAsia="仿宋_GB2312"/>
                <w:color w:val="000000"/>
                <w:kern w:val="2"/>
                <w:sz w:val="30"/>
                <w:szCs w:val="30"/>
                <w:lang w:val="en-US" w:eastAsia="zh-CN"/>
              </w:rPr>
            </w:pPr>
          </w:p>
        </w:tc>
      </w:tr>
      <w:tr w14:paraId="7C09B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AD23A9">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材料管理</w:t>
            </w:r>
          </w:p>
        </w:tc>
        <w:tc>
          <w:tcPr>
            <w:tcW w:w="1418" w:type="dxa"/>
            <w:noWrap w:val="0"/>
            <w:vAlign w:val="center"/>
          </w:tcPr>
          <w:p w14:paraId="30B58CD2">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37302A2D">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BDFBC65">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50ECAB6">
            <w:pPr>
              <w:pStyle w:val="2"/>
              <w:keepNext/>
              <w:spacing w:after="0" w:line="440" w:lineRule="exact"/>
              <w:ind w:left="63" w:right="63"/>
              <w:rPr>
                <w:rFonts w:eastAsia="仿宋_GB2312"/>
                <w:color w:val="000000"/>
                <w:kern w:val="2"/>
                <w:sz w:val="30"/>
                <w:szCs w:val="30"/>
                <w:lang w:val="en-US" w:eastAsia="zh-CN"/>
              </w:rPr>
            </w:pPr>
          </w:p>
        </w:tc>
      </w:tr>
      <w:tr w14:paraId="136AE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1341F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计划管理</w:t>
            </w:r>
          </w:p>
        </w:tc>
        <w:tc>
          <w:tcPr>
            <w:tcW w:w="1418" w:type="dxa"/>
            <w:noWrap w:val="0"/>
            <w:vAlign w:val="center"/>
          </w:tcPr>
          <w:p w14:paraId="6BC22886">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543278F">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7AADB1E">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023A8849">
            <w:pPr>
              <w:pStyle w:val="2"/>
              <w:keepNext/>
              <w:spacing w:after="0" w:line="440" w:lineRule="exact"/>
              <w:ind w:left="63" w:right="63"/>
              <w:rPr>
                <w:rFonts w:eastAsia="仿宋_GB2312"/>
                <w:color w:val="000000"/>
                <w:kern w:val="2"/>
                <w:sz w:val="30"/>
                <w:szCs w:val="30"/>
                <w:lang w:val="en-US" w:eastAsia="zh-CN"/>
              </w:rPr>
            </w:pPr>
          </w:p>
        </w:tc>
      </w:tr>
      <w:tr w14:paraId="73395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88094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安全管理</w:t>
            </w:r>
          </w:p>
        </w:tc>
        <w:tc>
          <w:tcPr>
            <w:tcW w:w="1418" w:type="dxa"/>
            <w:noWrap w:val="0"/>
            <w:vAlign w:val="center"/>
          </w:tcPr>
          <w:p w14:paraId="5A57B1B2">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A87B745">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A9CA3F8">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FED98CF">
            <w:pPr>
              <w:pStyle w:val="2"/>
              <w:keepNext/>
              <w:spacing w:after="0" w:line="440" w:lineRule="exact"/>
              <w:ind w:left="63" w:right="63"/>
              <w:rPr>
                <w:rFonts w:eastAsia="仿宋_GB2312"/>
                <w:color w:val="000000"/>
                <w:kern w:val="2"/>
                <w:sz w:val="30"/>
                <w:szCs w:val="30"/>
                <w:lang w:val="en-US" w:eastAsia="zh-CN"/>
              </w:rPr>
            </w:pPr>
          </w:p>
        </w:tc>
      </w:tr>
      <w:tr w14:paraId="3FA5A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1FB5D57">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784F8819">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ADFFEFB">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32A46ACD">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6DA51E44">
            <w:pPr>
              <w:pStyle w:val="2"/>
              <w:keepNext/>
              <w:spacing w:after="0" w:line="440" w:lineRule="exact"/>
              <w:ind w:left="63" w:right="63"/>
              <w:rPr>
                <w:rFonts w:eastAsia="仿宋_GB2312"/>
                <w:color w:val="000000"/>
                <w:kern w:val="2"/>
                <w:sz w:val="30"/>
                <w:szCs w:val="30"/>
                <w:lang w:val="en-US" w:eastAsia="zh-CN"/>
              </w:rPr>
            </w:pPr>
          </w:p>
        </w:tc>
      </w:tr>
      <w:tr w14:paraId="63955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A52ABB">
            <w:pPr>
              <w:pStyle w:val="2"/>
              <w:keepNext/>
              <w:spacing w:after="0" w:line="440" w:lineRule="exact"/>
              <w:ind w:left="63" w:right="63"/>
              <w:rPr>
                <w:rFonts w:eastAsia="仿宋_GB2312"/>
                <w:color w:val="000000"/>
                <w:kern w:val="2"/>
                <w:sz w:val="28"/>
                <w:szCs w:val="30"/>
                <w:lang w:val="en-US" w:eastAsia="zh-CN"/>
              </w:rPr>
            </w:pPr>
          </w:p>
        </w:tc>
        <w:tc>
          <w:tcPr>
            <w:tcW w:w="1418" w:type="dxa"/>
            <w:tcBorders>
              <w:bottom w:val="nil"/>
            </w:tcBorders>
            <w:noWrap w:val="0"/>
            <w:vAlign w:val="center"/>
          </w:tcPr>
          <w:p w14:paraId="776FCE2E">
            <w:pPr>
              <w:pStyle w:val="2"/>
              <w:keepNext/>
              <w:spacing w:after="0" w:line="440" w:lineRule="exact"/>
              <w:ind w:left="63" w:right="63"/>
              <w:rPr>
                <w:rFonts w:eastAsia="仿宋_GB2312"/>
                <w:color w:val="000000"/>
                <w:kern w:val="2"/>
                <w:sz w:val="28"/>
                <w:szCs w:val="30"/>
                <w:lang w:val="en-US" w:eastAsia="zh-CN"/>
              </w:rPr>
            </w:pPr>
          </w:p>
        </w:tc>
        <w:tc>
          <w:tcPr>
            <w:tcW w:w="1134" w:type="dxa"/>
            <w:tcBorders>
              <w:bottom w:val="nil"/>
            </w:tcBorders>
            <w:noWrap w:val="0"/>
            <w:vAlign w:val="center"/>
          </w:tcPr>
          <w:p w14:paraId="0F9652CA">
            <w:pPr>
              <w:pStyle w:val="2"/>
              <w:keepNext/>
              <w:spacing w:after="0" w:line="440" w:lineRule="exact"/>
              <w:ind w:left="63" w:right="63"/>
              <w:rPr>
                <w:rFonts w:eastAsia="仿宋_GB2312"/>
                <w:color w:val="000000"/>
                <w:kern w:val="2"/>
                <w:sz w:val="30"/>
                <w:szCs w:val="30"/>
                <w:lang w:val="en-US" w:eastAsia="zh-CN"/>
              </w:rPr>
            </w:pPr>
          </w:p>
        </w:tc>
        <w:tc>
          <w:tcPr>
            <w:tcW w:w="1134" w:type="dxa"/>
            <w:tcBorders>
              <w:bottom w:val="nil"/>
            </w:tcBorders>
            <w:noWrap w:val="0"/>
            <w:vAlign w:val="center"/>
          </w:tcPr>
          <w:p w14:paraId="104C6684">
            <w:pPr>
              <w:pStyle w:val="2"/>
              <w:keepNext/>
              <w:spacing w:after="0" w:line="440" w:lineRule="exact"/>
              <w:ind w:left="63" w:right="63"/>
              <w:rPr>
                <w:rFonts w:eastAsia="仿宋_GB2312"/>
                <w:color w:val="000000"/>
                <w:kern w:val="2"/>
                <w:sz w:val="30"/>
                <w:szCs w:val="30"/>
                <w:lang w:val="en-US" w:eastAsia="zh-CN"/>
              </w:rPr>
            </w:pPr>
          </w:p>
        </w:tc>
        <w:tc>
          <w:tcPr>
            <w:tcW w:w="4252" w:type="dxa"/>
            <w:tcBorders>
              <w:bottom w:val="nil"/>
            </w:tcBorders>
            <w:noWrap w:val="0"/>
            <w:vAlign w:val="center"/>
          </w:tcPr>
          <w:p w14:paraId="0B171529">
            <w:pPr>
              <w:pStyle w:val="2"/>
              <w:keepNext/>
              <w:spacing w:after="0" w:line="440" w:lineRule="exact"/>
              <w:ind w:left="63" w:right="63"/>
              <w:rPr>
                <w:rFonts w:eastAsia="仿宋_GB2312"/>
                <w:color w:val="000000"/>
                <w:kern w:val="2"/>
                <w:sz w:val="30"/>
                <w:szCs w:val="30"/>
                <w:lang w:val="en-US" w:eastAsia="zh-CN"/>
              </w:rPr>
            </w:pPr>
          </w:p>
        </w:tc>
      </w:tr>
      <w:tr w14:paraId="32D0B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6F1EDB5">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658574DB">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2B6F0E9">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54E1658">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0875B824">
            <w:pPr>
              <w:pStyle w:val="2"/>
              <w:keepNext/>
              <w:spacing w:after="0" w:line="440" w:lineRule="exact"/>
              <w:ind w:left="63" w:right="63"/>
              <w:rPr>
                <w:rFonts w:eastAsia="仿宋_GB2312"/>
                <w:color w:val="000000"/>
                <w:kern w:val="2"/>
                <w:sz w:val="30"/>
                <w:szCs w:val="30"/>
                <w:lang w:val="en-US" w:eastAsia="zh-CN"/>
              </w:rPr>
            </w:pPr>
          </w:p>
        </w:tc>
      </w:tr>
      <w:tr w14:paraId="1F29A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6FC70C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015C627E">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619FB9D8">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07C0E8F">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D40CFBD">
            <w:pPr>
              <w:pStyle w:val="2"/>
              <w:keepNext/>
              <w:spacing w:after="0" w:line="440" w:lineRule="exact"/>
              <w:ind w:left="63" w:right="63"/>
              <w:rPr>
                <w:rFonts w:eastAsia="仿宋_GB2312"/>
                <w:color w:val="000000"/>
                <w:kern w:val="2"/>
                <w:sz w:val="30"/>
                <w:szCs w:val="30"/>
                <w:lang w:val="en-US" w:eastAsia="zh-CN"/>
              </w:rPr>
            </w:pPr>
          </w:p>
        </w:tc>
      </w:tr>
      <w:tr w14:paraId="12979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48568B5">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090FACEA">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53EF6BB">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46C0630B">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6789ECE9">
            <w:pPr>
              <w:pStyle w:val="2"/>
              <w:keepNext/>
              <w:spacing w:after="0" w:line="440" w:lineRule="exact"/>
              <w:ind w:left="63" w:right="63"/>
              <w:rPr>
                <w:rFonts w:eastAsia="仿宋_GB2312"/>
                <w:color w:val="000000"/>
                <w:kern w:val="2"/>
                <w:sz w:val="30"/>
                <w:szCs w:val="30"/>
                <w:lang w:val="en-US" w:eastAsia="zh-CN"/>
              </w:rPr>
            </w:pPr>
          </w:p>
        </w:tc>
      </w:tr>
      <w:tr w14:paraId="711EF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FB8213D">
            <w:pPr>
              <w:pStyle w:val="2"/>
              <w:keepNext/>
              <w:spacing w:after="0" w:line="440" w:lineRule="exact"/>
              <w:ind w:left="63" w:right="63"/>
              <w:rPr>
                <w:rFonts w:eastAsia="仿宋_GB2312"/>
                <w:color w:val="000000"/>
                <w:kern w:val="2"/>
                <w:sz w:val="28"/>
                <w:szCs w:val="30"/>
                <w:lang w:val="en-US" w:eastAsia="zh-CN"/>
              </w:rPr>
            </w:pPr>
          </w:p>
        </w:tc>
        <w:tc>
          <w:tcPr>
            <w:tcW w:w="1418" w:type="dxa"/>
            <w:tcBorders>
              <w:bottom w:val="single" w:color="auto" w:sz="12" w:space="0"/>
            </w:tcBorders>
            <w:noWrap w:val="0"/>
            <w:vAlign w:val="center"/>
          </w:tcPr>
          <w:p w14:paraId="77EC0D92">
            <w:pPr>
              <w:pStyle w:val="2"/>
              <w:keepNext/>
              <w:spacing w:after="0" w:line="440" w:lineRule="exact"/>
              <w:ind w:left="63" w:right="63"/>
              <w:rPr>
                <w:rFonts w:eastAsia="仿宋_GB2312"/>
                <w:color w:val="000000"/>
                <w:kern w:val="2"/>
                <w:sz w:val="28"/>
                <w:szCs w:val="30"/>
                <w:lang w:val="en-US" w:eastAsia="zh-CN"/>
              </w:rPr>
            </w:pPr>
          </w:p>
        </w:tc>
        <w:tc>
          <w:tcPr>
            <w:tcW w:w="1134" w:type="dxa"/>
            <w:tcBorders>
              <w:bottom w:val="single" w:color="auto" w:sz="12" w:space="0"/>
            </w:tcBorders>
            <w:noWrap w:val="0"/>
            <w:vAlign w:val="center"/>
          </w:tcPr>
          <w:p w14:paraId="5E7D8082">
            <w:pPr>
              <w:pStyle w:val="2"/>
              <w:keepNext/>
              <w:spacing w:after="0" w:line="440" w:lineRule="exact"/>
              <w:ind w:left="63" w:right="63"/>
              <w:rPr>
                <w:rFonts w:eastAsia="仿宋_GB2312"/>
                <w:color w:val="000000"/>
                <w:kern w:val="2"/>
                <w:sz w:val="30"/>
                <w:szCs w:val="30"/>
                <w:lang w:val="en-US" w:eastAsia="zh-CN"/>
              </w:rPr>
            </w:pPr>
          </w:p>
        </w:tc>
        <w:tc>
          <w:tcPr>
            <w:tcW w:w="1134" w:type="dxa"/>
            <w:tcBorders>
              <w:bottom w:val="single" w:color="auto" w:sz="12" w:space="0"/>
            </w:tcBorders>
            <w:noWrap w:val="0"/>
            <w:vAlign w:val="center"/>
          </w:tcPr>
          <w:p w14:paraId="68605AB8">
            <w:pPr>
              <w:pStyle w:val="2"/>
              <w:keepNext/>
              <w:spacing w:after="0" w:line="440" w:lineRule="exact"/>
              <w:ind w:left="63" w:right="63"/>
              <w:rPr>
                <w:rFonts w:eastAsia="仿宋_GB2312"/>
                <w:color w:val="000000"/>
                <w:kern w:val="2"/>
                <w:sz w:val="30"/>
                <w:szCs w:val="30"/>
                <w:lang w:val="en-US" w:eastAsia="zh-CN"/>
              </w:rPr>
            </w:pPr>
          </w:p>
        </w:tc>
        <w:tc>
          <w:tcPr>
            <w:tcW w:w="4252" w:type="dxa"/>
            <w:tcBorders>
              <w:bottom w:val="single" w:color="auto" w:sz="12" w:space="0"/>
            </w:tcBorders>
            <w:noWrap w:val="0"/>
            <w:vAlign w:val="center"/>
          </w:tcPr>
          <w:p w14:paraId="41FA1167">
            <w:pPr>
              <w:pStyle w:val="2"/>
              <w:keepNext/>
              <w:spacing w:after="0" w:line="440" w:lineRule="exact"/>
              <w:ind w:left="63" w:right="63"/>
              <w:rPr>
                <w:rFonts w:eastAsia="仿宋_GB2312"/>
                <w:color w:val="000000"/>
                <w:kern w:val="2"/>
                <w:sz w:val="30"/>
                <w:szCs w:val="30"/>
                <w:lang w:val="en-US" w:eastAsia="zh-CN"/>
              </w:rPr>
            </w:pPr>
          </w:p>
        </w:tc>
      </w:tr>
    </w:tbl>
    <w:p w14:paraId="4FE8BD16">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bookmarkStart w:id="980" w:name="_Toc267261701"/>
      <w:r>
        <w:rPr>
          <w:rFonts w:ascii="Times New Roman" w:hAnsi="Times New Roman" w:eastAsia="仿宋_GB2312"/>
          <w:color w:val="000000"/>
          <w:sz w:val="30"/>
          <w:szCs w:val="30"/>
        </w:rPr>
        <w:t>附</w:t>
      </w:r>
      <w:bookmarkStart w:id="981" w:name="_Toc296503231"/>
      <w:bookmarkStart w:id="982" w:name="_Toc296347230"/>
      <w:bookmarkStart w:id="983" w:name="_Toc296944570"/>
      <w:bookmarkStart w:id="984" w:name="_Toc296891271"/>
      <w:bookmarkStart w:id="985" w:name="_Toc296891059"/>
      <w:bookmarkStart w:id="986" w:name="_Toc296346732"/>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11</w:t>
      </w:r>
      <w:r>
        <w:rPr>
          <w:rFonts w:ascii="Times New Roman" w:hAnsi="Times New Roman" w:eastAsia="仿宋_GB2312"/>
          <w:color w:val="000000"/>
          <w:sz w:val="30"/>
          <w:szCs w:val="30"/>
        </w:rPr>
        <w:t>：</w:t>
      </w:r>
    </w:p>
    <w:bookmarkEnd w:id="980"/>
    <w:bookmarkEnd w:id="981"/>
    <w:bookmarkEnd w:id="982"/>
    <w:bookmarkEnd w:id="983"/>
    <w:bookmarkEnd w:id="984"/>
    <w:bookmarkEnd w:id="985"/>
    <w:bookmarkEnd w:id="986"/>
    <w:p w14:paraId="3DCBDF43">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履约担保</w:t>
      </w:r>
    </w:p>
    <w:p w14:paraId="5DC8C5D8">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rPr>
        <w:t>（发包人名称）：</w:t>
      </w:r>
    </w:p>
    <w:p w14:paraId="573047D5">
      <w:pPr>
        <w:spacing w:line="440" w:lineRule="exact"/>
        <w:rPr>
          <w:rFonts w:ascii="Times New Roman" w:hAnsi="Times New Roman" w:eastAsia="仿宋_GB2312"/>
          <w:color w:val="000000"/>
          <w:sz w:val="30"/>
          <w:szCs w:val="30"/>
        </w:rPr>
      </w:pPr>
    </w:p>
    <w:p w14:paraId="4FA241FD">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鉴于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（发包人名称，以下简称“发包人”）与</w:t>
      </w:r>
    </w:p>
    <w:p w14:paraId="3C0C8344">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（承包人名称）（以下称“承包人”）于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（工程名称）施工及有关事项协商一致共同签订《建设工程施工合同》。我方愿意无条件地、不可撤销地就承包人履行与你方签订的合同，向你方提供连带责任担保。 </w:t>
      </w:r>
    </w:p>
    <w:p w14:paraId="747EAF23">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担保金额人民币（大写）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4E463496">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担保有效期自你方与承包人签订的合同生效之日起至你方签发或应签发工程接收证书之日止。</w:t>
      </w:r>
    </w:p>
    <w:p w14:paraId="2121F429">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在本担保有效期内，因承包人违反合同约定的义务给你方造成经济损失时，我方在收到你方以书面形式提出的在担保金额内的赔偿要求后，在7天内无条件支付。</w:t>
      </w:r>
    </w:p>
    <w:p w14:paraId="0E182E4E">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你方和承包人按合同约定变更合同时，我方承担本担保规定的义务不变。</w:t>
      </w:r>
    </w:p>
    <w:p w14:paraId="28A610DB">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14:paraId="1D03A994">
      <w:pPr>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6. 本保函自我方法定代表人（或其授权代理人）签字并加盖公章之日起生效。</w:t>
      </w:r>
    </w:p>
    <w:p w14:paraId="5A52D4AB">
      <w:pPr>
        <w:spacing w:line="360" w:lineRule="auto"/>
        <w:rPr>
          <w:rFonts w:hint="eastAsia" w:ascii="Times New Roman" w:hAnsi="Times New Roman" w:eastAsia="仿宋_GB2312"/>
          <w:color w:val="000000"/>
          <w:sz w:val="30"/>
          <w:szCs w:val="30"/>
        </w:rPr>
      </w:pPr>
    </w:p>
    <w:p w14:paraId="16A0A460">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 保 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14:paraId="6BE03838">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14:paraId="6F45BC5C">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7E305433">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9EFAD14">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7D796F45">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746137FD">
      <w:pPr>
        <w:spacing w:line="360" w:lineRule="auto"/>
        <w:jc w:val="left"/>
        <w:rPr>
          <w:rFonts w:ascii="Times New Roman" w:hAnsi="Times New Roman" w:eastAsia="仿宋_GB2312"/>
          <w:color w:val="000000"/>
          <w:sz w:val="30"/>
          <w:szCs w:val="30"/>
          <w:u w:val="single"/>
        </w:rPr>
      </w:pPr>
    </w:p>
    <w:p w14:paraId="3D9AFC0C">
      <w:pPr>
        <w:spacing w:line="360" w:lineRule="auto"/>
        <w:ind w:left="1899" w:hanging="1899" w:hangingChars="633"/>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59708497">
      <w:pPr>
        <w:spacing w:line="360" w:lineRule="auto"/>
        <w:ind w:left="1899" w:hanging="1899" w:hangingChars="633"/>
        <w:rPr>
          <w:rFonts w:ascii="Times New Roman" w:hAnsi="Times New Roman" w:eastAsia="仿宋_GB2312"/>
          <w:color w:val="000000"/>
          <w:sz w:val="30"/>
          <w:szCs w:val="30"/>
        </w:rPr>
      </w:pPr>
    </w:p>
    <w:p w14:paraId="56FF7049">
      <w:pPr>
        <w:spacing w:line="360" w:lineRule="auto"/>
        <w:ind w:left="1899" w:hanging="1899" w:hangingChars="633"/>
        <w:rPr>
          <w:rFonts w:ascii="Times New Roman" w:hAnsi="Times New Roman" w:eastAsia="仿宋_GB2312"/>
          <w:color w:val="000000"/>
          <w:sz w:val="30"/>
          <w:szCs w:val="30"/>
        </w:rPr>
      </w:pPr>
    </w:p>
    <w:p w14:paraId="60E76B49">
      <w:pPr>
        <w:spacing w:line="360" w:lineRule="auto"/>
        <w:rPr>
          <w:rFonts w:hint="eastAsia" w:ascii="Times New Roman" w:hAnsi="Times New Roman" w:eastAsia="仿宋_GB2312"/>
          <w:color w:val="000000"/>
          <w:sz w:val="30"/>
          <w:szCs w:val="30"/>
        </w:rPr>
      </w:pPr>
    </w:p>
    <w:p w14:paraId="33DA53CA">
      <w:pPr>
        <w:pStyle w:val="2"/>
        <w:rPr>
          <w:rFonts w:hint="eastAsia" w:ascii="Times New Roman" w:hAnsi="Times New Roman" w:eastAsia="仿宋_GB2312"/>
          <w:color w:val="000000"/>
          <w:sz w:val="30"/>
          <w:szCs w:val="30"/>
        </w:rPr>
      </w:pPr>
    </w:p>
    <w:p w14:paraId="044D3C12">
      <w:pPr>
        <w:rPr>
          <w:rFonts w:hint="eastAsia" w:ascii="Times New Roman" w:hAnsi="Times New Roman" w:eastAsia="仿宋_GB2312"/>
          <w:color w:val="000000"/>
          <w:sz w:val="30"/>
          <w:szCs w:val="30"/>
        </w:rPr>
      </w:pPr>
    </w:p>
    <w:p w14:paraId="4C12972F">
      <w:pPr>
        <w:pStyle w:val="2"/>
        <w:rPr>
          <w:rFonts w:hint="eastAsia" w:ascii="Times New Roman" w:hAnsi="Times New Roman" w:eastAsia="仿宋_GB2312"/>
          <w:color w:val="000000"/>
          <w:sz w:val="30"/>
          <w:szCs w:val="30"/>
        </w:rPr>
      </w:pPr>
    </w:p>
    <w:p w14:paraId="02D85B4E">
      <w:pPr>
        <w:rPr>
          <w:rFonts w:hint="eastAsia" w:ascii="Times New Roman" w:hAnsi="Times New Roman" w:eastAsia="仿宋_GB2312"/>
          <w:color w:val="000000"/>
          <w:sz w:val="30"/>
          <w:szCs w:val="30"/>
        </w:rPr>
      </w:pPr>
    </w:p>
    <w:p w14:paraId="4B4EB1F4">
      <w:pPr>
        <w:pStyle w:val="2"/>
        <w:rPr>
          <w:rFonts w:hint="eastAsia" w:ascii="Times New Roman" w:hAnsi="Times New Roman" w:eastAsia="仿宋_GB2312"/>
          <w:color w:val="000000"/>
          <w:sz w:val="30"/>
          <w:szCs w:val="30"/>
        </w:rPr>
      </w:pPr>
    </w:p>
    <w:p w14:paraId="3572CA65">
      <w:pPr>
        <w:rPr>
          <w:rFonts w:hint="eastAsia" w:ascii="Times New Roman" w:hAnsi="Times New Roman" w:eastAsia="仿宋_GB2312"/>
          <w:color w:val="000000"/>
          <w:sz w:val="30"/>
          <w:szCs w:val="30"/>
        </w:rPr>
      </w:pPr>
    </w:p>
    <w:p w14:paraId="52C9E59D">
      <w:pPr>
        <w:pStyle w:val="2"/>
        <w:rPr>
          <w:rFonts w:hint="eastAsia" w:ascii="Times New Roman" w:hAnsi="Times New Roman" w:eastAsia="仿宋_GB2312"/>
          <w:color w:val="000000"/>
          <w:sz w:val="30"/>
          <w:szCs w:val="30"/>
        </w:rPr>
      </w:pPr>
    </w:p>
    <w:p w14:paraId="68F9F967">
      <w:pPr>
        <w:rPr>
          <w:rFonts w:hint="eastAsia" w:ascii="Times New Roman" w:hAnsi="Times New Roman" w:eastAsia="仿宋_GB2312"/>
          <w:color w:val="000000"/>
          <w:sz w:val="30"/>
          <w:szCs w:val="30"/>
        </w:rPr>
      </w:pPr>
    </w:p>
    <w:p w14:paraId="24E02184">
      <w:pPr>
        <w:pStyle w:val="2"/>
        <w:rPr>
          <w:rFonts w:hint="eastAsia" w:ascii="Times New Roman" w:hAnsi="Times New Roman" w:eastAsia="仿宋_GB2312"/>
          <w:color w:val="000000"/>
          <w:sz w:val="30"/>
          <w:szCs w:val="30"/>
        </w:rPr>
      </w:pPr>
    </w:p>
    <w:p w14:paraId="7683CB4C">
      <w:pPr>
        <w:rPr>
          <w:rFonts w:hint="eastAsia" w:ascii="Times New Roman" w:hAnsi="Times New Roman" w:eastAsia="仿宋_GB2312"/>
          <w:color w:val="000000"/>
          <w:sz w:val="30"/>
          <w:szCs w:val="30"/>
        </w:rPr>
      </w:pPr>
    </w:p>
    <w:p w14:paraId="4296E298">
      <w:pPr>
        <w:pStyle w:val="2"/>
        <w:rPr>
          <w:rFonts w:hint="eastAsia" w:ascii="Times New Roman" w:hAnsi="Times New Roman" w:eastAsia="仿宋_GB2312"/>
          <w:color w:val="000000"/>
          <w:sz w:val="30"/>
          <w:szCs w:val="30"/>
        </w:rPr>
      </w:pPr>
    </w:p>
    <w:p w14:paraId="741B50DE">
      <w:pPr>
        <w:rPr>
          <w:rFonts w:hint="eastAsia" w:ascii="Times New Roman" w:hAnsi="Times New Roman" w:eastAsia="仿宋_GB2312"/>
          <w:color w:val="000000"/>
          <w:sz w:val="30"/>
          <w:szCs w:val="30"/>
        </w:rPr>
      </w:pPr>
    </w:p>
    <w:p w14:paraId="77140EEA">
      <w:pPr>
        <w:pStyle w:val="2"/>
        <w:rPr>
          <w:rFonts w:hint="eastAsia" w:ascii="Times New Roman" w:hAnsi="Times New Roman" w:eastAsia="仿宋_GB2312"/>
          <w:color w:val="000000"/>
          <w:sz w:val="30"/>
          <w:szCs w:val="30"/>
        </w:rPr>
      </w:pPr>
    </w:p>
    <w:p w14:paraId="55389004">
      <w:pPr>
        <w:rPr>
          <w:rFonts w:hint="eastAsia" w:ascii="Times New Roman" w:hAnsi="Times New Roman" w:eastAsia="仿宋_GB2312"/>
          <w:color w:val="000000"/>
          <w:sz w:val="30"/>
          <w:szCs w:val="30"/>
        </w:rPr>
      </w:pPr>
    </w:p>
    <w:p w14:paraId="2F244787">
      <w:pPr>
        <w:pStyle w:val="2"/>
        <w:rPr>
          <w:rFonts w:hint="eastAsia" w:ascii="Times New Roman" w:hAnsi="Times New Roman" w:eastAsia="仿宋_GB2312"/>
          <w:color w:val="000000"/>
          <w:sz w:val="30"/>
          <w:szCs w:val="30"/>
        </w:rPr>
      </w:pPr>
    </w:p>
    <w:p w14:paraId="471F96FB">
      <w:pPr>
        <w:rPr>
          <w:rFonts w:hint="eastAsia" w:ascii="Times New Roman" w:hAnsi="Times New Roman" w:eastAsia="仿宋_GB2312"/>
          <w:color w:val="000000"/>
          <w:sz w:val="30"/>
          <w:szCs w:val="30"/>
        </w:rPr>
      </w:pPr>
    </w:p>
    <w:p w14:paraId="64EC1276">
      <w:pPr>
        <w:pStyle w:val="2"/>
        <w:rPr>
          <w:rFonts w:hint="eastAsia" w:ascii="Times New Roman" w:hAnsi="Times New Roman" w:eastAsia="仿宋_GB2312"/>
          <w:color w:val="000000"/>
          <w:sz w:val="30"/>
          <w:szCs w:val="30"/>
        </w:rPr>
      </w:pPr>
    </w:p>
    <w:p w14:paraId="30DC55C4">
      <w:pPr>
        <w:rPr>
          <w:rFonts w:hint="eastAsia" w:ascii="Times New Roman" w:hAnsi="Times New Roman" w:eastAsia="仿宋_GB2312"/>
          <w:color w:val="000000"/>
          <w:sz w:val="30"/>
          <w:szCs w:val="30"/>
        </w:rPr>
      </w:pPr>
    </w:p>
    <w:p w14:paraId="25F7FD3E">
      <w:pPr>
        <w:pStyle w:val="2"/>
        <w:rPr>
          <w:rFonts w:hint="eastAsia" w:ascii="Times New Roman" w:hAnsi="Times New Roman" w:eastAsia="仿宋_GB2312"/>
          <w:color w:val="000000"/>
          <w:sz w:val="30"/>
          <w:szCs w:val="30"/>
        </w:rPr>
      </w:pPr>
    </w:p>
    <w:p w14:paraId="24975F9A">
      <w:pPr>
        <w:rPr>
          <w:rFonts w:hint="eastAsia" w:ascii="Times New Roman" w:hAnsi="Times New Roman" w:eastAsia="仿宋_GB2312"/>
          <w:color w:val="000000"/>
          <w:sz w:val="30"/>
          <w:szCs w:val="30"/>
        </w:rPr>
      </w:pPr>
    </w:p>
    <w:p w14:paraId="11D8F740">
      <w:pPr>
        <w:pStyle w:val="2"/>
        <w:rPr>
          <w:rFonts w:hint="eastAsia" w:ascii="Times New Roman" w:hAnsi="Times New Roman" w:eastAsia="仿宋_GB2312"/>
          <w:color w:val="000000"/>
          <w:sz w:val="30"/>
          <w:szCs w:val="30"/>
        </w:rPr>
      </w:pPr>
    </w:p>
    <w:p w14:paraId="06083DFE">
      <w:pPr>
        <w:rPr>
          <w:rFonts w:hint="eastAsia" w:ascii="Times New Roman" w:hAnsi="Times New Roman" w:eastAsia="仿宋_GB2312"/>
          <w:color w:val="000000"/>
          <w:sz w:val="30"/>
          <w:szCs w:val="30"/>
        </w:rPr>
      </w:pPr>
    </w:p>
    <w:p w14:paraId="42BF661E">
      <w:pPr>
        <w:pStyle w:val="2"/>
        <w:rPr>
          <w:rFonts w:hint="eastAsia" w:ascii="Times New Roman" w:hAnsi="Times New Roman" w:eastAsia="仿宋_GB2312"/>
          <w:color w:val="000000"/>
          <w:sz w:val="30"/>
          <w:szCs w:val="30"/>
        </w:rPr>
      </w:pPr>
    </w:p>
    <w:p w14:paraId="6282E665">
      <w:pPr>
        <w:rPr>
          <w:rFonts w:hint="eastAsia"/>
        </w:rPr>
      </w:pPr>
    </w:p>
    <w:p w14:paraId="63D70614">
      <w:pPr>
        <w:spacing w:line="360" w:lineRule="auto"/>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87" w:name="_Toc267261702"/>
      <w:bookmarkStart w:id="988" w:name="_Toc296944571"/>
      <w:bookmarkStart w:id="989" w:name="_Toc296346733"/>
      <w:bookmarkStart w:id="990" w:name="_Toc296891272"/>
      <w:bookmarkStart w:id="991" w:name="_Toc296891060"/>
      <w:bookmarkStart w:id="992" w:name="_Toc296503232"/>
      <w:bookmarkStart w:id="993" w:name="_Toc296347231"/>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12</w:t>
      </w:r>
      <w:r>
        <w:rPr>
          <w:rFonts w:ascii="Times New Roman" w:hAnsi="Times New Roman" w:eastAsia="仿宋_GB2312"/>
          <w:color w:val="000000"/>
          <w:sz w:val="30"/>
          <w:szCs w:val="30"/>
        </w:rPr>
        <w:t>：</w:t>
      </w:r>
    </w:p>
    <w:bookmarkEnd w:id="987"/>
    <w:bookmarkEnd w:id="988"/>
    <w:bookmarkEnd w:id="989"/>
    <w:bookmarkEnd w:id="990"/>
    <w:bookmarkEnd w:id="991"/>
    <w:bookmarkEnd w:id="992"/>
    <w:bookmarkEnd w:id="993"/>
    <w:p w14:paraId="38AFECD5">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预付款担保</w:t>
      </w:r>
    </w:p>
    <w:p w14:paraId="136DB9A6">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（发包人名称）：</w:t>
      </w:r>
    </w:p>
    <w:p w14:paraId="4A7671AB">
      <w:pPr>
        <w:spacing w:line="360" w:lineRule="auto"/>
        <w:rPr>
          <w:rFonts w:ascii="Times New Roman" w:hAnsi="Times New Roman" w:eastAsia="仿宋_GB2312"/>
          <w:color w:val="000000"/>
          <w:sz w:val="30"/>
          <w:szCs w:val="30"/>
        </w:rPr>
      </w:pPr>
    </w:p>
    <w:p w14:paraId="14A764E9">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）与</w:t>
      </w:r>
    </w:p>
    <w:p w14:paraId="19918264">
      <w:pPr>
        <w:spacing w:line="360" w:lineRule="auto"/>
        <w:outlineLvl w:val="0"/>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bookmarkStart w:id="994" w:name="_Toc15637"/>
      <w:r>
        <w:rPr>
          <w:rFonts w:ascii="Times New Roman" w:hAnsi="Times New Roman" w:eastAsia="仿宋_GB2312"/>
          <w:color w:val="000000"/>
          <w:sz w:val="30"/>
          <w:szCs w:val="30"/>
        </w:rPr>
        <w:t>（发包人名称）（以下简称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w:t>
      </w:r>
      <w:bookmarkEnd w:id="994"/>
    </w:p>
    <w:p w14:paraId="6E6EF6C3">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（工程名称）《建设工程施工合同》，承包人按约定的金额向</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提交一份预付款担保，即有权得到</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支付相等金额的预付款。我方愿意就你方提供给承包人的预付款</w:t>
      </w:r>
      <w:r>
        <w:rPr>
          <w:rFonts w:hint="eastAsia" w:ascii="Times New Roman" w:hAnsi="Times New Roman" w:eastAsia="仿宋_GB2312"/>
          <w:color w:val="000000"/>
          <w:sz w:val="30"/>
          <w:szCs w:val="30"/>
        </w:rPr>
        <w:t>为承包人</w:t>
      </w:r>
      <w:r>
        <w:rPr>
          <w:rFonts w:ascii="Times New Roman" w:hAnsi="Times New Roman" w:eastAsia="仿宋_GB2312"/>
          <w:color w:val="000000"/>
          <w:sz w:val="30"/>
          <w:szCs w:val="30"/>
        </w:rPr>
        <w:t>提供连带责任担保。</w:t>
      </w:r>
    </w:p>
    <w:p w14:paraId="61F8B64C">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担保金额人民币（大写）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元</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190B9BB8">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担保有效期自预付款支付给承包人起生效，至</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签发的</w:t>
      </w:r>
      <w:r>
        <w:rPr>
          <w:rFonts w:hint="eastAsia" w:ascii="Times New Roman" w:hAnsi="Times New Roman" w:eastAsia="仿宋_GB2312"/>
          <w:color w:val="000000"/>
          <w:sz w:val="30"/>
          <w:szCs w:val="30"/>
        </w:rPr>
        <w:t>进</w:t>
      </w:r>
      <w:r>
        <w:rPr>
          <w:rFonts w:ascii="Times New Roman" w:hAnsi="Times New Roman" w:eastAsia="仿宋_GB2312"/>
          <w:color w:val="000000"/>
          <w:sz w:val="30"/>
          <w:szCs w:val="30"/>
        </w:rPr>
        <w:t>度款支付证书说明已完全扣清止。</w:t>
      </w:r>
    </w:p>
    <w:p w14:paraId="21C43995">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在本保函有效期内，因承包人违反合同约定的义务而要求</w:t>
      </w:r>
      <w:r>
        <w:rPr>
          <w:rFonts w:hint="eastAsia" w:ascii="Times New Roman" w:hAnsi="Times New Roman" w:eastAsia="仿宋_GB2312"/>
          <w:color w:val="000000"/>
          <w:sz w:val="30"/>
          <w:szCs w:val="30"/>
        </w:rPr>
        <w:t>收</w:t>
      </w:r>
      <w:r>
        <w:rPr>
          <w:rFonts w:ascii="Times New Roman" w:hAnsi="Times New Roman" w:eastAsia="仿宋_GB2312"/>
          <w:color w:val="000000"/>
          <w:sz w:val="30"/>
          <w:szCs w:val="30"/>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按合同约定在向承包人签发的进度款支付证书中扣除的金额。</w:t>
      </w:r>
    </w:p>
    <w:p w14:paraId="03F7ECF6">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4. 你方</w:t>
      </w:r>
      <w:r>
        <w:rPr>
          <w:rFonts w:ascii="Times New Roman" w:hAnsi="Times New Roman" w:eastAsia="仿宋_GB2312"/>
          <w:color w:val="000000"/>
          <w:sz w:val="30"/>
          <w:szCs w:val="30"/>
        </w:rPr>
        <w:t>和承包人按合同约定变更合同时，我方承担本保函规定的义务不变。</w:t>
      </w:r>
    </w:p>
    <w:p w14:paraId="17D9C291">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14:paraId="372B812D">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6. </w:t>
      </w:r>
      <w:r>
        <w:rPr>
          <w:rFonts w:ascii="Times New Roman" w:hAnsi="Times New Roman" w:eastAsia="仿宋_GB2312"/>
          <w:color w:val="000000"/>
          <w:sz w:val="30"/>
          <w:szCs w:val="30"/>
        </w:rPr>
        <w:t>本保函自我方法定代表人（或其授权代理人）签字并加盖公章之日起生效。</w:t>
      </w:r>
    </w:p>
    <w:p w14:paraId="517A4D37">
      <w:pPr>
        <w:spacing w:line="360" w:lineRule="auto"/>
        <w:rPr>
          <w:rFonts w:hint="eastAsia" w:ascii="Times New Roman" w:hAnsi="Times New Roman" w:eastAsia="仿宋_GB2312"/>
          <w:color w:val="000000"/>
          <w:sz w:val="30"/>
          <w:szCs w:val="30"/>
        </w:rPr>
      </w:pPr>
    </w:p>
    <w:p w14:paraId="31A4375F">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14:paraId="6E4425FC">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14:paraId="2B55883E">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14:paraId="43424296">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14:paraId="2121AD27">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14:paraId="1580B3D9">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14:paraId="1D2A9E16">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p>
    <w:p w14:paraId="76A95FD3">
      <w:pPr>
        <w:spacing w:line="360" w:lineRule="auto"/>
        <w:rPr>
          <w:rFonts w:ascii="Times New Roman" w:hAnsi="Times New Roman" w:eastAsia="仿宋_GB2312"/>
          <w:color w:val="000000"/>
          <w:sz w:val="30"/>
          <w:szCs w:val="30"/>
          <w:u w:val="single"/>
        </w:rPr>
      </w:pPr>
    </w:p>
    <w:p w14:paraId="60AB5707">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37AA8A32">
      <w:pPr>
        <w:spacing w:line="440" w:lineRule="exact"/>
        <w:rPr>
          <w:rFonts w:ascii="Times New Roman" w:hAnsi="Times New Roman" w:eastAsia="仿宋_GB2312"/>
          <w:color w:val="000000"/>
          <w:sz w:val="30"/>
          <w:szCs w:val="30"/>
        </w:rPr>
      </w:pPr>
    </w:p>
    <w:p w14:paraId="64F5B225">
      <w:pPr>
        <w:spacing w:line="440" w:lineRule="exact"/>
        <w:rPr>
          <w:rFonts w:ascii="Times New Roman" w:hAnsi="Times New Roman" w:eastAsia="仿宋_GB2312"/>
          <w:color w:val="000000"/>
          <w:sz w:val="30"/>
          <w:szCs w:val="30"/>
        </w:rPr>
      </w:pPr>
    </w:p>
    <w:p w14:paraId="55C00D77">
      <w:pPr>
        <w:spacing w:line="440" w:lineRule="exact"/>
        <w:rPr>
          <w:rFonts w:ascii="Times New Roman" w:hAnsi="Times New Roman" w:eastAsia="仿宋_GB2312"/>
          <w:color w:val="000000"/>
          <w:sz w:val="30"/>
          <w:szCs w:val="30"/>
        </w:rPr>
      </w:pPr>
    </w:p>
    <w:p w14:paraId="234DC3F6">
      <w:pPr>
        <w:spacing w:line="440" w:lineRule="exact"/>
        <w:rPr>
          <w:rFonts w:ascii="Times New Roman" w:hAnsi="Times New Roman" w:eastAsia="仿宋_GB2312"/>
          <w:color w:val="000000"/>
          <w:sz w:val="30"/>
          <w:szCs w:val="30"/>
        </w:rPr>
      </w:pPr>
    </w:p>
    <w:p w14:paraId="511B3D96">
      <w:pPr>
        <w:spacing w:line="440" w:lineRule="exact"/>
        <w:rPr>
          <w:rFonts w:ascii="Times New Roman" w:hAnsi="Times New Roman" w:eastAsia="仿宋_GB2312"/>
          <w:color w:val="000000"/>
          <w:sz w:val="30"/>
          <w:szCs w:val="30"/>
        </w:rPr>
      </w:pPr>
    </w:p>
    <w:p w14:paraId="54A9CB4D">
      <w:pPr>
        <w:spacing w:line="440" w:lineRule="exact"/>
        <w:rPr>
          <w:rFonts w:ascii="Times New Roman" w:hAnsi="Times New Roman" w:eastAsia="仿宋_GB2312"/>
          <w:color w:val="000000"/>
          <w:sz w:val="30"/>
          <w:szCs w:val="30"/>
        </w:rPr>
      </w:pPr>
    </w:p>
    <w:p w14:paraId="6FD747D5">
      <w:pPr>
        <w:spacing w:line="440" w:lineRule="exact"/>
        <w:rPr>
          <w:rFonts w:ascii="Times New Roman" w:hAnsi="Times New Roman" w:eastAsia="仿宋_GB2312"/>
          <w:color w:val="000000"/>
          <w:sz w:val="30"/>
          <w:szCs w:val="30"/>
        </w:rPr>
      </w:pPr>
    </w:p>
    <w:p w14:paraId="6C74D50E">
      <w:pPr>
        <w:spacing w:line="440" w:lineRule="exact"/>
        <w:rPr>
          <w:rFonts w:ascii="Times New Roman" w:hAnsi="Times New Roman" w:eastAsia="仿宋_GB2312"/>
          <w:color w:val="000000"/>
          <w:sz w:val="30"/>
          <w:szCs w:val="30"/>
        </w:rPr>
      </w:pPr>
    </w:p>
    <w:p w14:paraId="070A4D74">
      <w:pPr>
        <w:spacing w:line="440" w:lineRule="exact"/>
        <w:rPr>
          <w:rFonts w:ascii="Times New Roman" w:hAnsi="Times New Roman" w:eastAsia="仿宋_GB2312"/>
          <w:color w:val="000000"/>
          <w:sz w:val="30"/>
          <w:szCs w:val="30"/>
        </w:rPr>
      </w:pPr>
    </w:p>
    <w:p w14:paraId="6B69DDD0">
      <w:pPr>
        <w:spacing w:line="440" w:lineRule="exact"/>
        <w:rPr>
          <w:rFonts w:ascii="Times New Roman" w:hAnsi="Times New Roman" w:eastAsia="仿宋_GB2312"/>
          <w:color w:val="000000"/>
          <w:sz w:val="30"/>
          <w:szCs w:val="30"/>
        </w:rPr>
      </w:pPr>
    </w:p>
    <w:p w14:paraId="26E69674">
      <w:pPr>
        <w:spacing w:line="440" w:lineRule="exact"/>
        <w:rPr>
          <w:rFonts w:ascii="Times New Roman" w:hAnsi="Times New Roman" w:eastAsia="仿宋_GB2312"/>
          <w:color w:val="000000"/>
          <w:sz w:val="30"/>
          <w:szCs w:val="30"/>
        </w:rPr>
      </w:pPr>
    </w:p>
    <w:p w14:paraId="0DE6A84C">
      <w:pPr>
        <w:spacing w:line="440" w:lineRule="exact"/>
        <w:rPr>
          <w:rFonts w:ascii="Times New Roman" w:hAnsi="Times New Roman" w:eastAsia="仿宋_GB2312"/>
          <w:color w:val="000000"/>
          <w:sz w:val="30"/>
          <w:szCs w:val="30"/>
        </w:rPr>
      </w:pPr>
    </w:p>
    <w:p w14:paraId="72C52983">
      <w:pPr>
        <w:spacing w:line="440" w:lineRule="exact"/>
        <w:rPr>
          <w:rFonts w:ascii="Times New Roman" w:hAnsi="Times New Roman" w:eastAsia="仿宋_GB2312"/>
          <w:color w:val="000000"/>
          <w:sz w:val="30"/>
          <w:szCs w:val="30"/>
        </w:rPr>
      </w:pPr>
    </w:p>
    <w:p w14:paraId="5026A9B1">
      <w:pPr>
        <w:spacing w:line="440" w:lineRule="exact"/>
        <w:rPr>
          <w:rFonts w:ascii="Times New Roman" w:hAnsi="Times New Roman" w:eastAsia="仿宋_GB2312"/>
          <w:color w:val="000000"/>
          <w:sz w:val="30"/>
          <w:szCs w:val="30"/>
        </w:rPr>
      </w:pPr>
    </w:p>
    <w:p w14:paraId="0EC06346">
      <w:pPr>
        <w:spacing w:line="440" w:lineRule="exact"/>
        <w:rPr>
          <w:rFonts w:ascii="Times New Roman" w:hAnsi="Times New Roman" w:eastAsia="仿宋_GB2312"/>
          <w:color w:val="000000"/>
          <w:sz w:val="30"/>
          <w:szCs w:val="30"/>
        </w:rPr>
      </w:pPr>
    </w:p>
    <w:p w14:paraId="2A5BB028">
      <w:pPr>
        <w:spacing w:line="440" w:lineRule="exact"/>
        <w:rPr>
          <w:rFonts w:ascii="Times New Roman" w:hAnsi="Times New Roman" w:eastAsia="仿宋_GB2312"/>
          <w:color w:val="000000"/>
          <w:sz w:val="30"/>
          <w:szCs w:val="30"/>
        </w:rPr>
      </w:pPr>
    </w:p>
    <w:p w14:paraId="0D782D45">
      <w:pPr>
        <w:spacing w:line="440" w:lineRule="exact"/>
        <w:rPr>
          <w:rFonts w:ascii="Times New Roman" w:hAnsi="Times New Roman" w:eastAsia="仿宋_GB2312"/>
          <w:color w:val="000000"/>
          <w:sz w:val="30"/>
          <w:szCs w:val="30"/>
        </w:rPr>
      </w:pPr>
    </w:p>
    <w:p w14:paraId="7483FAC1">
      <w:pPr>
        <w:spacing w:line="440" w:lineRule="exact"/>
        <w:rPr>
          <w:rFonts w:ascii="Times New Roman" w:hAnsi="Times New Roman" w:eastAsia="仿宋_GB2312"/>
          <w:color w:val="000000"/>
          <w:sz w:val="30"/>
          <w:szCs w:val="30"/>
        </w:rPr>
      </w:pPr>
    </w:p>
    <w:p w14:paraId="209CFDCD">
      <w:pPr>
        <w:spacing w:line="440" w:lineRule="exact"/>
        <w:rPr>
          <w:rFonts w:ascii="Times New Roman" w:hAnsi="Times New Roman" w:eastAsia="仿宋_GB2312"/>
          <w:color w:val="000000"/>
          <w:sz w:val="30"/>
          <w:szCs w:val="30"/>
        </w:rPr>
      </w:pPr>
    </w:p>
    <w:p w14:paraId="39A9D826">
      <w:pPr>
        <w:spacing w:line="440" w:lineRule="exact"/>
        <w:rPr>
          <w:rFonts w:ascii="Times New Roman" w:hAnsi="Times New Roman" w:eastAsia="仿宋_GB2312"/>
          <w:color w:val="000000"/>
          <w:sz w:val="30"/>
          <w:szCs w:val="30"/>
        </w:rPr>
      </w:pPr>
    </w:p>
    <w:p w14:paraId="02799E09">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95" w:name="_Toc296944572"/>
      <w:bookmarkStart w:id="996" w:name="_Toc296891061"/>
      <w:bookmarkStart w:id="997" w:name="_Toc296347232"/>
      <w:bookmarkStart w:id="998" w:name="_Toc296891273"/>
      <w:bookmarkStart w:id="999" w:name="_Toc296503233"/>
      <w:bookmarkStart w:id="1000" w:name="_Toc296346734"/>
      <w:r>
        <w:rPr>
          <w:rFonts w:ascii="Times New Roman" w:hAnsi="Times New Roman" w:eastAsia="仿宋_GB2312"/>
          <w:color w:val="000000"/>
          <w:sz w:val="30"/>
          <w:szCs w:val="30"/>
        </w:rPr>
        <w:t>件1</w:t>
      </w:r>
      <w:r>
        <w:rPr>
          <w:rFonts w:hint="eastAsia" w:ascii="Times New Roman" w:hAnsi="Times New Roman" w:eastAsia="仿宋_GB2312"/>
          <w:color w:val="000000"/>
          <w:sz w:val="30"/>
          <w:szCs w:val="30"/>
          <w:lang w:val="en-US" w:eastAsia="zh-CN"/>
        </w:rPr>
        <w:t>3</w:t>
      </w:r>
      <w:r>
        <w:rPr>
          <w:rFonts w:ascii="Times New Roman" w:hAnsi="Times New Roman" w:eastAsia="仿宋_GB2312"/>
          <w:color w:val="000000"/>
          <w:sz w:val="30"/>
          <w:szCs w:val="30"/>
        </w:rPr>
        <w:t xml:space="preserve">: </w:t>
      </w:r>
      <w:r>
        <w:rPr>
          <w:rFonts w:ascii="Times New Roman" w:hAnsi="Times New Roman" w:eastAsia="黑体"/>
          <w:color w:val="000000"/>
          <w:sz w:val="30"/>
          <w:szCs w:val="30"/>
        </w:rPr>
        <w:t xml:space="preserve"> </w:t>
      </w:r>
    </w:p>
    <w:bookmarkEnd w:id="995"/>
    <w:bookmarkEnd w:id="996"/>
    <w:bookmarkEnd w:id="997"/>
    <w:bookmarkEnd w:id="998"/>
    <w:bookmarkEnd w:id="999"/>
    <w:bookmarkEnd w:id="1000"/>
    <w:p w14:paraId="21E31CB8">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支付担保</w:t>
      </w:r>
    </w:p>
    <w:p w14:paraId="5B11C049">
      <w:pPr>
        <w:spacing w:line="440" w:lineRule="exact"/>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w:t>
      </w:r>
    </w:p>
    <w:p w14:paraId="6E7E1297">
      <w:pPr>
        <w:spacing w:line="440" w:lineRule="exact"/>
        <w:jc w:val="left"/>
        <w:rPr>
          <w:rFonts w:ascii="Times New Roman" w:hAnsi="Times New Roman" w:eastAsia="仿宋_GB2312"/>
          <w:color w:val="000000"/>
          <w:sz w:val="30"/>
          <w:szCs w:val="30"/>
        </w:rPr>
      </w:pPr>
    </w:p>
    <w:p w14:paraId="27AB5413">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鉴于你方作为承包人已经与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日签订了</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主合同</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），应发包人的申请，我方愿就发包人履行主合同约定的工程款支付义务以保证的方式向你方提供如下担保：</w:t>
      </w:r>
    </w:p>
    <w:p w14:paraId="779A2E40">
      <w:pPr>
        <w:spacing w:line="360" w:lineRule="auto"/>
        <w:ind w:firstLine="600" w:firstLineChars="200"/>
        <w:jc w:val="left"/>
        <w:outlineLvl w:val="0"/>
        <w:rPr>
          <w:rFonts w:ascii="Times New Roman" w:hAnsi="Times New Roman" w:eastAsia="黑体"/>
          <w:color w:val="000000"/>
          <w:sz w:val="30"/>
          <w:szCs w:val="30"/>
        </w:rPr>
      </w:pPr>
      <w:bookmarkStart w:id="1001" w:name="_Toc17917"/>
      <w:r>
        <w:rPr>
          <w:rFonts w:ascii="Times New Roman" w:hAnsi="Times New Roman" w:eastAsia="黑体"/>
          <w:color w:val="000000"/>
          <w:sz w:val="30"/>
          <w:szCs w:val="30"/>
        </w:rPr>
        <w:t>一、保证的范围及保证金额</w:t>
      </w:r>
      <w:bookmarkEnd w:id="1001"/>
    </w:p>
    <w:p w14:paraId="5ABABC23">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我方的保证范围是主合同约定的工程款。</w:t>
      </w:r>
    </w:p>
    <w:p w14:paraId="422EB312">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本保函所称主合同约定的工程款是指主合同约定的除工程质量保证金以外的合同价款。</w:t>
      </w:r>
    </w:p>
    <w:p w14:paraId="62A6CFD0">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我方保证的金额是主合同约定的工程款的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%，数额最高不超过人民币元（大写：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3F6BE7A2">
      <w:pPr>
        <w:spacing w:line="360" w:lineRule="auto"/>
        <w:ind w:firstLine="600" w:firstLineChars="200"/>
        <w:jc w:val="left"/>
        <w:outlineLvl w:val="0"/>
        <w:rPr>
          <w:rFonts w:ascii="Times New Roman" w:hAnsi="Times New Roman" w:eastAsia="黑体"/>
          <w:color w:val="000000"/>
          <w:sz w:val="30"/>
          <w:szCs w:val="30"/>
        </w:rPr>
      </w:pPr>
      <w:bookmarkStart w:id="1002" w:name="_Toc25664"/>
      <w:r>
        <w:rPr>
          <w:rFonts w:ascii="Times New Roman" w:hAnsi="Times New Roman" w:eastAsia="黑体"/>
          <w:color w:val="000000"/>
          <w:sz w:val="30"/>
          <w:szCs w:val="30"/>
        </w:rPr>
        <w:t>二、保证的方式及保证期间</w:t>
      </w:r>
      <w:bookmarkEnd w:id="1002"/>
    </w:p>
    <w:p w14:paraId="32425D26">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我方保证的方式为：连带责任保证。</w:t>
      </w:r>
    </w:p>
    <w:p w14:paraId="652B20A8">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我方保证的期间为：自本合同生效之日起至主合同约定的工程款支付完毕之日后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日内。</w:t>
      </w:r>
    </w:p>
    <w:p w14:paraId="61B6CD9C">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你方与发包人协议变更工程款支付日期的，经我方书面同意后，保证期间按照变更后的支付日期做相应调整。</w:t>
      </w:r>
    </w:p>
    <w:p w14:paraId="16E01375">
      <w:pPr>
        <w:spacing w:line="360" w:lineRule="auto"/>
        <w:ind w:firstLine="600" w:firstLineChars="200"/>
        <w:jc w:val="left"/>
        <w:outlineLvl w:val="0"/>
        <w:rPr>
          <w:rFonts w:ascii="Times New Roman" w:hAnsi="Times New Roman" w:eastAsia="黑体"/>
          <w:color w:val="000000"/>
          <w:sz w:val="30"/>
          <w:szCs w:val="30"/>
        </w:rPr>
      </w:pPr>
      <w:bookmarkStart w:id="1003" w:name="_Toc3379"/>
      <w:r>
        <w:rPr>
          <w:rFonts w:ascii="Times New Roman" w:hAnsi="Times New Roman" w:eastAsia="黑体"/>
          <w:color w:val="000000"/>
          <w:sz w:val="30"/>
          <w:szCs w:val="30"/>
        </w:rPr>
        <w:t>三、承担保证责任的形式</w:t>
      </w:r>
      <w:bookmarkEnd w:id="1003"/>
    </w:p>
    <w:p w14:paraId="54C2E6D6">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我方承担保证责任的形式是代为支付。发包人未按主合同约定向你方支付工程款的，由我方在保证金额内代为支付。</w:t>
      </w:r>
    </w:p>
    <w:p w14:paraId="7EA13659">
      <w:pPr>
        <w:spacing w:line="360" w:lineRule="auto"/>
        <w:ind w:firstLine="600" w:firstLineChars="200"/>
        <w:jc w:val="left"/>
        <w:outlineLvl w:val="0"/>
        <w:rPr>
          <w:rFonts w:ascii="Times New Roman" w:hAnsi="Times New Roman" w:eastAsia="黑体"/>
          <w:color w:val="000000"/>
          <w:sz w:val="30"/>
          <w:szCs w:val="30"/>
        </w:rPr>
      </w:pPr>
      <w:bookmarkStart w:id="1004" w:name="_Toc15124"/>
      <w:r>
        <w:rPr>
          <w:rFonts w:ascii="Times New Roman" w:hAnsi="Times New Roman" w:eastAsia="黑体"/>
          <w:color w:val="000000"/>
          <w:sz w:val="30"/>
          <w:szCs w:val="30"/>
        </w:rPr>
        <w:t>四、代偿的安排</w:t>
      </w:r>
      <w:bookmarkEnd w:id="1004"/>
    </w:p>
    <w:p w14:paraId="3FA6D23C">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你方要求我方承担保证责任的，应向我方发出书面索赔通知及发包人未支付主合同约定工程款的证明材料。索赔通知应写明要求索赔的金额，支付款项应到达的账号。</w:t>
      </w:r>
    </w:p>
    <w:p w14:paraId="68FEB4C2">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14:paraId="3D89290D">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我方收到你方的书面索赔通知及相应的证明材料后７天内无条件支付。</w:t>
      </w:r>
    </w:p>
    <w:p w14:paraId="411599C2">
      <w:pPr>
        <w:spacing w:line="360" w:lineRule="auto"/>
        <w:ind w:firstLine="600" w:firstLineChars="200"/>
        <w:jc w:val="left"/>
        <w:outlineLvl w:val="0"/>
        <w:rPr>
          <w:rFonts w:ascii="Times New Roman" w:hAnsi="Times New Roman" w:eastAsia="黑体"/>
          <w:color w:val="000000"/>
          <w:sz w:val="30"/>
          <w:szCs w:val="30"/>
        </w:rPr>
      </w:pPr>
      <w:bookmarkStart w:id="1005" w:name="_Toc23408"/>
      <w:r>
        <w:rPr>
          <w:rFonts w:ascii="Times New Roman" w:hAnsi="Times New Roman" w:eastAsia="黑体"/>
          <w:color w:val="000000"/>
          <w:sz w:val="30"/>
          <w:szCs w:val="30"/>
        </w:rPr>
        <w:t>五、保证责任的解除</w:t>
      </w:r>
      <w:bookmarkEnd w:id="1005"/>
    </w:p>
    <w:p w14:paraId="2B9A2ED5">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在本保函承诺的保证期间内，你方未书面向我方主张保证责任的，自保证期间届满次日起，我方保证责任解除。</w:t>
      </w:r>
    </w:p>
    <w:p w14:paraId="0213A681">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发包人按主合同约定履行了工程款的全部支付义务的，自本保函承诺的保证期间届满次日起，我方保证责任解除。</w:t>
      </w:r>
    </w:p>
    <w:p w14:paraId="614277FF">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我方按照本保函向你方履行保证责任所支付金额达到本保函保证金额时，自我方向你方支付（支付款项从我方账户划出）之日起，保证责任即解除。</w:t>
      </w:r>
    </w:p>
    <w:p w14:paraId="4C3D07BA">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按照法律法规的规定或出现应解除我方保证责任的其他情形的，我方在本保函项下的保证责任亦解除。</w:t>
      </w:r>
    </w:p>
    <w:p w14:paraId="6D47C042">
      <w:pPr>
        <w:spacing w:line="360" w:lineRule="auto"/>
        <w:jc w:val="left"/>
        <w:rPr>
          <w:rFonts w:hint="eastAsia" w:ascii="Times New Roman" w:hAnsi="Times New Roman" w:eastAsia="仿宋_GB2312"/>
          <w:color w:val="000000"/>
          <w:sz w:val="30"/>
          <w:szCs w:val="30"/>
        </w:rPr>
      </w:pPr>
    </w:p>
    <w:p w14:paraId="16F45137">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我方解除保证责任后，你方应自我方保证责任解除之日起</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个工作日内，将本保函原件返还我方。</w:t>
      </w:r>
    </w:p>
    <w:p w14:paraId="4ABFB7A9">
      <w:pPr>
        <w:spacing w:line="360" w:lineRule="auto"/>
        <w:ind w:firstLine="600" w:firstLineChars="200"/>
        <w:jc w:val="left"/>
        <w:outlineLvl w:val="0"/>
        <w:rPr>
          <w:rFonts w:ascii="Times New Roman" w:hAnsi="Times New Roman" w:eastAsia="黑体"/>
          <w:color w:val="000000"/>
          <w:sz w:val="30"/>
          <w:szCs w:val="30"/>
        </w:rPr>
      </w:pPr>
      <w:bookmarkStart w:id="1006" w:name="_Toc20435"/>
      <w:r>
        <w:rPr>
          <w:rFonts w:ascii="Times New Roman" w:hAnsi="Times New Roman" w:eastAsia="黑体"/>
          <w:color w:val="000000"/>
          <w:sz w:val="30"/>
          <w:szCs w:val="30"/>
        </w:rPr>
        <w:t>六、免责条款</w:t>
      </w:r>
      <w:bookmarkEnd w:id="1006"/>
    </w:p>
    <w:p w14:paraId="010E3E2C">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因你方违约致使发包人不能履行义务的，我方不承担保证责任。</w:t>
      </w:r>
    </w:p>
    <w:p w14:paraId="27F12E07">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依照法律法规的规定或你方与发包人的另行约定，免除发包人部分或全部义务的，我方亦免除其相应的保证责任。</w:t>
      </w:r>
    </w:p>
    <w:p w14:paraId="5F9447E3">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变更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约定的变更不受本款限制。</w:t>
      </w:r>
    </w:p>
    <w:p w14:paraId="62E6E25F">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因不可抗力造成发包人不能履行义务的，我方不承担保证责任。</w:t>
      </w:r>
    </w:p>
    <w:p w14:paraId="4B587118">
      <w:pPr>
        <w:spacing w:line="360" w:lineRule="auto"/>
        <w:ind w:firstLine="600" w:firstLineChars="200"/>
        <w:jc w:val="left"/>
        <w:outlineLvl w:val="0"/>
        <w:rPr>
          <w:rFonts w:ascii="Times New Roman" w:hAnsi="Times New Roman" w:eastAsia="黑体"/>
          <w:color w:val="000000"/>
          <w:sz w:val="30"/>
          <w:szCs w:val="30"/>
        </w:rPr>
      </w:pPr>
      <w:bookmarkStart w:id="1007" w:name="_Toc14329"/>
      <w:r>
        <w:rPr>
          <w:rFonts w:ascii="Times New Roman" w:hAnsi="Times New Roman" w:eastAsia="黑体"/>
          <w:color w:val="000000"/>
          <w:sz w:val="30"/>
          <w:szCs w:val="30"/>
        </w:rPr>
        <w:t>七、争议解决</w:t>
      </w:r>
      <w:bookmarkEnd w:id="1007"/>
    </w:p>
    <w:p w14:paraId="6F2B87FF">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0"/>
        </w:rPr>
        <w:t>因本保函</w:t>
      </w:r>
      <w:r>
        <w:rPr>
          <w:rFonts w:hint="eastAsia" w:ascii="Times New Roman" w:hAnsi="Times New Roman" w:eastAsia="仿宋_GB2312"/>
          <w:color w:val="000000"/>
          <w:sz w:val="30"/>
          <w:szCs w:val="30"/>
        </w:rPr>
        <w:t>或本保函相关事项</w:t>
      </w:r>
      <w:r>
        <w:rPr>
          <w:rFonts w:ascii="Times New Roman" w:hAnsi="Times New Roman" w:eastAsia="仿宋_GB2312"/>
          <w:color w:val="000000"/>
          <w:sz w:val="30"/>
          <w:szCs w:val="30"/>
        </w:rPr>
        <w:t>发生的纠纷，可由双方协商解决，协商不成的，</w:t>
      </w:r>
      <w:r>
        <w:rPr>
          <w:rFonts w:ascii="Times New Roman" w:hAnsi="Times New Roman" w:eastAsia="仿宋_GB2312"/>
          <w:color w:val="000000"/>
          <w:sz w:val="30"/>
          <w:szCs w:val="32"/>
        </w:rPr>
        <w:t>按下列第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14:paraId="4C3142B1">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14:paraId="3B9C9D40">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p>
    <w:p w14:paraId="5DF9E3CE">
      <w:pPr>
        <w:spacing w:line="360" w:lineRule="auto"/>
        <w:ind w:firstLine="600" w:firstLineChars="200"/>
        <w:jc w:val="left"/>
        <w:outlineLvl w:val="0"/>
        <w:rPr>
          <w:rFonts w:ascii="Times New Roman" w:hAnsi="Times New Roman" w:eastAsia="黑体"/>
          <w:color w:val="000000"/>
          <w:sz w:val="30"/>
          <w:szCs w:val="30"/>
        </w:rPr>
      </w:pPr>
      <w:bookmarkStart w:id="1008" w:name="_Toc7816"/>
      <w:r>
        <w:rPr>
          <w:rFonts w:ascii="Times New Roman" w:hAnsi="Times New Roman" w:eastAsia="黑体"/>
          <w:color w:val="000000"/>
          <w:sz w:val="30"/>
          <w:szCs w:val="30"/>
        </w:rPr>
        <w:t>八、保函的生效</w:t>
      </w:r>
      <w:bookmarkEnd w:id="1008"/>
    </w:p>
    <w:p w14:paraId="7B5BA809">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本保函自我方法定代表人（或其授权代理人）签字并加盖公章之日起生效。</w:t>
      </w:r>
    </w:p>
    <w:p w14:paraId="74F83824">
      <w:pPr>
        <w:spacing w:line="360" w:lineRule="auto"/>
        <w:ind w:firstLine="600" w:firstLineChars="200"/>
        <w:jc w:val="left"/>
        <w:rPr>
          <w:rFonts w:hint="eastAsia" w:ascii="Times New Roman" w:hAnsi="Times New Roman" w:eastAsia="仿宋_GB2312"/>
          <w:color w:val="000000"/>
          <w:sz w:val="30"/>
          <w:szCs w:val="30"/>
        </w:rPr>
      </w:pPr>
    </w:p>
    <w:p w14:paraId="6B831AC8">
      <w:pPr>
        <w:spacing w:line="360" w:lineRule="auto"/>
        <w:ind w:right="600"/>
        <w:jc w:val="left"/>
        <w:rPr>
          <w:rFonts w:hint="eastAsia" w:ascii="Times New Roman" w:hAnsi="Times New Roman" w:eastAsia="仿宋_GB2312"/>
          <w:color w:val="000000"/>
          <w:sz w:val="30"/>
          <w:szCs w:val="30"/>
        </w:rPr>
      </w:pPr>
    </w:p>
    <w:p w14:paraId="2E575432">
      <w:pPr>
        <w:spacing w:line="360" w:lineRule="auto"/>
        <w:ind w:right="6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14:paraId="5BDE96B1">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14:paraId="646F0379">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8033308">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6F421523">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19C1C601">
      <w:pPr>
        <w:spacing w:line="360" w:lineRule="auto"/>
        <w:ind w:right="150" w:firstLine="600" w:firstLineChars="200"/>
        <w:jc w:val="left"/>
        <w:rPr>
          <w:rFonts w:ascii="Times New Roman" w:hAnsi="Times New Roman" w:eastAsia="仿宋_GB2312"/>
          <w:color w:val="000000"/>
          <w:sz w:val="30"/>
          <w:szCs w:val="30"/>
          <w:u w:val="single"/>
        </w:rPr>
      </w:pPr>
    </w:p>
    <w:p w14:paraId="2E29E109">
      <w:pPr>
        <w:spacing w:line="360" w:lineRule="auto"/>
        <w:ind w:right="150"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145A872D">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附件1</w:t>
      </w:r>
      <w:r>
        <w:rPr>
          <w:rFonts w:hint="eastAsia" w:ascii="Times New Roman" w:hAnsi="Times New Roman" w:eastAsia="仿宋_GB2312"/>
          <w:color w:val="000000"/>
          <w:sz w:val="30"/>
          <w:szCs w:val="30"/>
          <w:lang w:val="en-US" w:eastAsia="zh-CN"/>
        </w:rPr>
        <w:t>4</w:t>
      </w:r>
      <w:r>
        <w:rPr>
          <w:rFonts w:ascii="Times New Roman" w:hAnsi="Times New Roman" w:eastAsia="仿宋_GB2312"/>
          <w:color w:val="000000"/>
          <w:sz w:val="30"/>
          <w:szCs w:val="30"/>
        </w:rPr>
        <w:t>：</w:t>
      </w:r>
    </w:p>
    <w:p w14:paraId="2C675E7F">
      <w:pPr>
        <w:spacing w:before="156" w:beforeLines="50" w:after="156" w:afterLines="50" w:line="440" w:lineRule="exact"/>
        <w:jc w:val="center"/>
        <w:outlineLvl w:val="0"/>
        <w:rPr>
          <w:rFonts w:ascii="Times New Roman" w:hAnsi="Times New Roman" w:eastAsia="黑体"/>
          <w:color w:val="000000"/>
          <w:sz w:val="30"/>
          <w:szCs w:val="30"/>
        </w:rPr>
      </w:pPr>
      <w:bookmarkStart w:id="1009" w:name="_Toc260"/>
      <w:r>
        <w:rPr>
          <w:rFonts w:ascii="Times New Roman" w:hAnsi="Times New Roman" w:eastAsia="黑体"/>
          <w:color w:val="000000"/>
          <w:sz w:val="30"/>
          <w:szCs w:val="30"/>
        </w:rPr>
        <w:t>1</w:t>
      </w:r>
      <w:r>
        <w:rPr>
          <w:rFonts w:hint="eastAsia" w:ascii="Times New Roman" w:hAnsi="Times New Roman" w:eastAsia="黑体"/>
          <w:color w:val="000000"/>
          <w:sz w:val="30"/>
          <w:szCs w:val="30"/>
          <w:lang w:val="en-US" w:eastAsia="zh-CN"/>
        </w:rPr>
        <w:t>4</w:t>
      </w:r>
      <w:r>
        <w:rPr>
          <w:rFonts w:ascii="Times New Roman" w:hAnsi="Times New Roman" w:eastAsia="黑体"/>
          <w:color w:val="000000"/>
          <w:sz w:val="30"/>
          <w:szCs w:val="30"/>
        </w:rPr>
        <w:t>-1：材料暂估价表</w:t>
      </w:r>
      <w:bookmarkEnd w:id="1009"/>
    </w:p>
    <w:tbl>
      <w:tblPr>
        <w:tblStyle w:val="5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6D8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604F06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984" w:type="dxa"/>
            <w:tcBorders>
              <w:top w:val="single" w:color="auto" w:sz="12" w:space="0"/>
              <w:bottom w:val="double" w:color="auto" w:sz="6" w:space="0"/>
            </w:tcBorders>
            <w:noWrap w:val="0"/>
            <w:vAlign w:val="top"/>
          </w:tcPr>
          <w:p w14:paraId="28D0C6D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名称</w:t>
            </w:r>
          </w:p>
        </w:tc>
        <w:tc>
          <w:tcPr>
            <w:tcW w:w="851" w:type="dxa"/>
            <w:tcBorders>
              <w:top w:val="single" w:color="auto" w:sz="12" w:space="0"/>
              <w:bottom w:val="double" w:color="auto" w:sz="6" w:space="0"/>
            </w:tcBorders>
            <w:noWrap w:val="0"/>
            <w:vAlign w:val="top"/>
          </w:tcPr>
          <w:p w14:paraId="1B3D22D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w:t>
            </w:r>
          </w:p>
        </w:tc>
        <w:tc>
          <w:tcPr>
            <w:tcW w:w="774" w:type="dxa"/>
            <w:tcBorders>
              <w:top w:val="single" w:color="auto" w:sz="12" w:space="0"/>
              <w:bottom w:val="double" w:color="auto" w:sz="6" w:space="0"/>
            </w:tcBorders>
            <w:noWrap w:val="0"/>
            <w:vAlign w:val="top"/>
          </w:tcPr>
          <w:p w14:paraId="50CEFCA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1352" w:type="dxa"/>
            <w:tcBorders>
              <w:top w:val="single" w:color="auto" w:sz="12" w:space="0"/>
              <w:bottom w:val="double" w:color="auto" w:sz="6" w:space="0"/>
            </w:tcBorders>
            <w:noWrap w:val="0"/>
            <w:vAlign w:val="top"/>
          </w:tcPr>
          <w:p w14:paraId="2E4A0C5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单价</w:t>
            </w:r>
            <w:r>
              <w:rPr>
                <w:rFonts w:hint="eastAsia" w:eastAsia="仿宋_GB2312"/>
                <w:color w:val="000000"/>
                <w:kern w:val="2"/>
                <w:sz w:val="28"/>
                <w:szCs w:val="30"/>
                <w:lang w:val="en-US" w:eastAsia="zh-CN"/>
              </w:rPr>
              <w:t>（元）</w:t>
            </w:r>
          </w:p>
        </w:tc>
        <w:tc>
          <w:tcPr>
            <w:tcW w:w="1418" w:type="dxa"/>
            <w:tcBorders>
              <w:top w:val="single" w:color="auto" w:sz="12" w:space="0"/>
              <w:bottom w:val="double" w:color="auto" w:sz="6" w:space="0"/>
            </w:tcBorders>
            <w:noWrap w:val="0"/>
            <w:vAlign w:val="top"/>
          </w:tcPr>
          <w:p w14:paraId="5A900E9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合价</w:t>
            </w:r>
            <w:r>
              <w:rPr>
                <w:rFonts w:hint="eastAsia" w:eastAsia="仿宋_GB2312"/>
                <w:color w:val="000000"/>
                <w:kern w:val="2"/>
                <w:sz w:val="28"/>
                <w:szCs w:val="30"/>
                <w:lang w:val="en-US" w:eastAsia="zh-CN"/>
              </w:rPr>
              <w:t>（元）</w:t>
            </w:r>
          </w:p>
        </w:tc>
        <w:tc>
          <w:tcPr>
            <w:tcW w:w="1701" w:type="dxa"/>
            <w:tcBorders>
              <w:top w:val="single" w:color="auto" w:sz="12" w:space="0"/>
              <w:bottom w:val="double" w:color="auto" w:sz="6" w:space="0"/>
            </w:tcBorders>
            <w:noWrap w:val="0"/>
            <w:vAlign w:val="top"/>
          </w:tcPr>
          <w:p w14:paraId="1061833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65DFB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2DC49110">
            <w:pPr>
              <w:pStyle w:val="2"/>
              <w:keepNext/>
              <w:spacing w:after="0" w:line="440" w:lineRule="exact"/>
              <w:ind w:left="63" w:right="63"/>
              <w:rPr>
                <w:rFonts w:eastAsia="仿宋_GB2312"/>
                <w:color w:val="000000"/>
                <w:kern w:val="2"/>
                <w:sz w:val="28"/>
                <w:szCs w:val="30"/>
                <w:lang w:val="en-US" w:eastAsia="zh-CN"/>
              </w:rPr>
            </w:pPr>
          </w:p>
        </w:tc>
        <w:tc>
          <w:tcPr>
            <w:tcW w:w="1984" w:type="dxa"/>
            <w:tcBorders>
              <w:top w:val="double" w:color="auto" w:sz="6" w:space="0"/>
              <w:bottom w:val="single" w:color="auto" w:sz="6" w:space="0"/>
            </w:tcBorders>
            <w:noWrap w:val="0"/>
            <w:vAlign w:val="top"/>
          </w:tcPr>
          <w:p w14:paraId="0AF271FA">
            <w:pPr>
              <w:pStyle w:val="2"/>
              <w:keepNext/>
              <w:spacing w:after="0" w:line="440" w:lineRule="exact"/>
              <w:ind w:left="63" w:right="63"/>
              <w:rPr>
                <w:rFonts w:eastAsia="仿宋_GB2312"/>
                <w:color w:val="000000"/>
                <w:kern w:val="2"/>
                <w:sz w:val="28"/>
                <w:szCs w:val="30"/>
                <w:lang w:val="en-US" w:eastAsia="zh-CN"/>
              </w:rPr>
            </w:pPr>
          </w:p>
        </w:tc>
        <w:tc>
          <w:tcPr>
            <w:tcW w:w="851" w:type="dxa"/>
            <w:tcBorders>
              <w:top w:val="double" w:color="auto" w:sz="6" w:space="0"/>
              <w:bottom w:val="single" w:color="auto" w:sz="6" w:space="0"/>
            </w:tcBorders>
            <w:noWrap w:val="0"/>
            <w:vAlign w:val="top"/>
          </w:tcPr>
          <w:p w14:paraId="3D34E66A">
            <w:pPr>
              <w:pStyle w:val="2"/>
              <w:keepNext/>
              <w:spacing w:after="0" w:line="440" w:lineRule="exact"/>
              <w:ind w:left="63" w:right="63"/>
              <w:rPr>
                <w:rFonts w:eastAsia="仿宋_GB2312"/>
                <w:color w:val="000000"/>
                <w:kern w:val="2"/>
                <w:sz w:val="28"/>
                <w:szCs w:val="30"/>
                <w:lang w:val="en-US" w:eastAsia="zh-CN"/>
              </w:rPr>
            </w:pPr>
          </w:p>
        </w:tc>
        <w:tc>
          <w:tcPr>
            <w:tcW w:w="774" w:type="dxa"/>
            <w:tcBorders>
              <w:top w:val="double" w:color="auto" w:sz="6" w:space="0"/>
              <w:bottom w:val="single" w:color="auto" w:sz="6" w:space="0"/>
            </w:tcBorders>
            <w:noWrap w:val="0"/>
            <w:vAlign w:val="top"/>
          </w:tcPr>
          <w:p w14:paraId="282E6DF0">
            <w:pPr>
              <w:pStyle w:val="2"/>
              <w:keepNext/>
              <w:spacing w:after="0" w:line="440" w:lineRule="exact"/>
              <w:ind w:left="63" w:right="63"/>
              <w:rPr>
                <w:rFonts w:eastAsia="仿宋_GB2312"/>
                <w:color w:val="000000"/>
                <w:kern w:val="2"/>
                <w:sz w:val="28"/>
                <w:szCs w:val="30"/>
                <w:lang w:val="en-US" w:eastAsia="zh-CN"/>
              </w:rPr>
            </w:pPr>
          </w:p>
        </w:tc>
        <w:tc>
          <w:tcPr>
            <w:tcW w:w="1352" w:type="dxa"/>
            <w:tcBorders>
              <w:top w:val="double" w:color="auto" w:sz="6" w:space="0"/>
              <w:bottom w:val="single" w:color="auto" w:sz="6" w:space="0"/>
            </w:tcBorders>
            <w:noWrap w:val="0"/>
            <w:vAlign w:val="top"/>
          </w:tcPr>
          <w:p w14:paraId="5CCACDCB">
            <w:pPr>
              <w:pStyle w:val="2"/>
              <w:keepNext/>
              <w:spacing w:after="0" w:line="440" w:lineRule="exact"/>
              <w:ind w:left="63" w:right="63"/>
              <w:rPr>
                <w:rFonts w:eastAsia="仿宋_GB2312"/>
                <w:color w:val="000000"/>
                <w:kern w:val="2"/>
                <w:sz w:val="28"/>
                <w:szCs w:val="30"/>
                <w:lang w:val="en-US" w:eastAsia="zh-CN"/>
              </w:rPr>
            </w:pPr>
          </w:p>
        </w:tc>
        <w:tc>
          <w:tcPr>
            <w:tcW w:w="1418" w:type="dxa"/>
            <w:tcBorders>
              <w:top w:val="double" w:color="auto" w:sz="6" w:space="0"/>
              <w:bottom w:val="single" w:color="auto" w:sz="6" w:space="0"/>
            </w:tcBorders>
            <w:noWrap w:val="0"/>
            <w:vAlign w:val="top"/>
          </w:tcPr>
          <w:p w14:paraId="7D536E87">
            <w:pPr>
              <w:pStyle w:val="2"/>
              <w:keepNext/>
              <w:spacing w:after="0" w:line="440" w:lineRule="exact"/>
              <w:ind w:left="63" w:right="63"/>
              <w:rPr>
                <w:rFonts w:eastAsia="仿宋_GB2312"/>
                <w:color w:val="000000"/>
                <w:kern w:val="2"/>
                <w:sz w:val="28"/>
                <w:szCs w:val="30"/>
                <w:lang w:val="en-US" w:eastAsia="zh-CN"/>
              </w:rPr>
            </w:pPr>
          </w:p>
        </w:tc>
        <w:tc>
          <w:tcPr>
            <w:tcW w:w="1701" w:type="dxa"/>
            <w:tcBorders>
              <w:top w:val="double" w:color="auto" w:sz="6" w:space="0"/>
              <w:bottom w:val="single" w:color="auto" w:sz="6" w:space="0"/>
            </w:tcBorders>
            <w:noWrap w:val="0"/>
            <w:vAlign w:val="top"/>
          </w:tcPr>
          <w:p w14:paraId="63CEE8FE">
            <w:pPr>
              <w:pStyle w:val="2"/>
              <w:keepNext/>
              <w:spacing w:after="0" w:line="440" w:lineRule="exact"/>
              <w:ind w:left="63" w:right="63"/>
              <w:rPr>
                <w:rFonts w:eastAsia="仿宋_GB2312"/>
                <w:color w:val="000000"/>
                <w:kern w:val="2"/>
                <w:sz w:val="28"/>
                <w:szCs w:val="30"/>
                <w:lang w:val="en-US" w:eastAsia="zh-CN"/>
              </w:rPr>
            </w:pPr>
          </w:p>
        </w:tc>
      </w:tr>
      <w:tr w14:paraId="794DD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259E20D9">
            <w:pPr>
              <w:pStyle w:val="2"/>
              <w:keepNext/>
              <w:spacing w:after="0" w:line="440" w:lineRule="exact"/>
              <w:ind w:left="63" w:right="63"/>
              <w:rPr>
                <w:rFonts w:eastAsia="仿宋_GB2312"/>
                <w:color w:val="000000"/>
                <w:kern w:val="2"/>
                <w:sz w:val="28"/>
                <w:szCs w:val="30"/>
                <w:lang w:val="en-US" w:eastAsia="zh-CN"/>
              </w:rPr>
            </w:pPr>
          </w:p>
        </w:tc>
        <w:tc>
          <w:tcPr>
            <w:tcW w:w="1984" w:type="dxa"/>
            <w:tcBorders>
              <w:top w:val="nil"/>
            </w:tcBorders>
            <w:noWrap w:val="0"/>
            <w:vAlign w:val="top"/>
          </w:tcPr>
          <w:p w14:paraId="3BB49CDB">
            <w:pPr>
              <w:pStyle w:val="2"/>
              <w:keepNext/>
              <w:spacing w:after="0" w:line="440" w:lineRule="exact"/>
              <w:ind w:left="63" w:right="63"/>
              <w:rPr>
                <w:rFonts w:eastAsia="仿宋_GB2312"/>
                <w:color w:val="000000"/>
                <w:kern w:val="2"/>
                <w:sz w:val="28"/>
                <w:szCs w:val="30"/>
                <w:lang w:val="en-US" w:eastAsia="zh-CN"/>
              </w:rPr>
            </w:pPr>
          </w:p>
        </w:tc>
        <w:tc>
          <w:tcPr>
            <w:tcW w:w="851" w:type="dxa"/>
            <w:tcBorders>
              <w:top w:val="nil"/>
            </w:tcBorders>
            <w:noWrap w:val="0"/>
            <w:vAlign w:val="top"/>
          </w:tcPr>
          <w:p w14:paraId="1CC63F94">
            <w:pPr>
              <w:pStyle w:val="2"/>
              <w:keepNext/>
              <w:spacing w:after="0" w:line="440" w:lineRule="exact"/>
              <w:ind w:left="63" w:right="63"/>
              <w:rPr>
                <w:rFonts w:eastAsia="仿宋_GB2312"/>
                <w:color w:val="000000"/>
                <w:kern w:val="2"/>
                <w:sz w:val="28"/>
                <w:szCs w:val="30"/>
                <w:lang w:val="en-US" w:eastAsia="zh-CN"/>
              </w:rPr>
            </w:pPr>
          </w:p>
        </w:tc>
        <w:tc>
          <w:tcPr>
            <w:tcW w:w="774" w:type="dxa"/>
            <w:tcBorders>
              <w:top w:val="nil"/>
            </w:tcBorders>
            <w:noWrap w:val="0"/>
            <w:vAlign w:val="top"/>
          </w:tcPr>
          <w:p w14:paraId="3B12B3C6">
            <w:pPr>
              <w:pStyle w:val="2"/>
              <w:keepNext/>
              <w:spacing w:after="0" w:line="440" w:lineRule="exact"/>
              <w:ind w:left="63" w:right="63"/>
              <w:rPr>
                <w:rFonts w:eastAsia="仿宋_GB2312"/>
                <w:color w:val="000000"/>
                <w:kern w:val="2"/>
                <w:sz w:val="28"/>
                <w:szCs w:val="30"/>
                <w:lang w:val="en-US" w:eastAsia="zh-CN"/>
              </w:rPr>
            </w:pPr>
          </w:p>
        </w:tc>
        <w:tc>
          <w:tcPr>
            <w:tcW w:w="1352" w:type="dxa"/>
            <w:tcBorders>
              <w:top w:val="nil"/>
            </w:tcBorders>
            <w:noWrap w:val="0"/>
            <w:vAlign w:val="top"/>
          </w:tcPr>
          <w:p w14:paraId="7D05D6CC">
            <w:pPr>
              <w:pStyle w:val="2"/>
              <w:keepNext/>
              <w:spacing w:after="0" w:line="440" w:lineRule="exact"/>
              <w:ind w:left="63" w:right="63"/>
              <w:rPr>
                <w:rFonts w:eastAsia="仿宋_GB2312"/>
                <w:color w:val="000000"/>
                <w:kern w:val="2"/>
                <w:sz w:val="28"/>
                <w:szCs w:val="30"/>
                <w:lang w:val="en-US" w:eastAsia="zh-CN"/>
              </w:rPr>
            </w:pPr>
          </w:p>
        </w:tc>
        <w:tc>
          <w:tcPr>
            <w:tcW w:w="1418" w:type="dxa"/>
            <w:tcBorders>
              <w:top w:val="nil"/>
            </w:tcBorders>
            <w:noWrap w:val="0"/>
            <w:vAlign w:val="top"/>
          </w:tcPr>
          <w:p w14:paraId="3AB2F8B3">
            <w:pPr>
              <w:pStyle w:val="2"/>
              <w:keepNext/>
              <w:spacing w:after="0" w:line="440" w:lineRule="exact"/>
              <w:ind w:left="63" w:right="63"/>
              <w:rPr>
                <w:rFonts w:eastAsia="仿宋_GB2312"/>
                <w:color w:val="000000"/>
                <w:kern w:val="2"/>
                <w:sz w:val="28"/>
                <w:szCs w:val="30"/>
                <w:lang w:val="en-US" w:eastAsia="zh-CN"/>
              </w:rPr>
            </w:pPr>
          </w:p>
        </w:tc>
        <w:tc>
          <w:tcPr>
            <w:tcW w:w="1701" w:type="dxa"/>
            <w:tcBorders>
              <w:top w:val="nil"/>
            </w:tcBorders>
            <w:noWrap w:val="0"/>
            <w:vAlign w:val="top"/>
          </w:tcPr>
          <w:p w14:paraId="2876A8CF">
            <w:pPr>
              <w:pStyle w:val="2"/>
              <w:keepNext/>
              <w:spacing w:after="0" w:line="440" w:lineRule="exact"/>
              <w:ind w:left="63" w:right="63"/>
              <w:rPr>
                <w:rFonts w:eastAsia="仿宋_GB2312"/>
                <w:color w:val="000000"/>
                <w:kern w:val="2"/>
                <w:sz w:val="28"/>
                <w:szCs w:val="30"/>
                <w:lang w:val="en-US" w:eastAsia="zh-CN"/>
              </w:rPr>
            </w:pPr>
          </w:p>
        </w:tc>
      </w:tr>
      <w:tr w14:paraId="00940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3B88AB">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8545FA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EAF845E">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74D158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B970D3E">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F60CF5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AA6040A">
            <w:pPr>
              <w:pStyle w:val="2"/>
              <w:keepNext/>
              <w:spacing w:after="0" w:line="440" w:lineRule="exact"/>
              <w:ind w:left="63" w:right="63"/>
              <w:rPr>
                <w:rFonts w:eastAsia="仿宋_GB2312"/>
                <w:color w:val="000000"/>
                <w:kern w:val="2"/>
                <w:sz w:val="28"/>
                <w:szCs w:val="30"/>
                <w:lang w:val="en-US" w:eastAsia="zh-CN"/>
              </w:rPr>
            </w:pPr>
          </w:p>
        </w:tc>
      </w:tr>
      <w:tr w14:paraId="79F4E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232CEE">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8FFA345">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10066A4">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103D851">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8D89F7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1B2FB70">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838541E">
            <w:pPr>
              <w:pStyle w:val="2"/>
              <w:keepNext/>
              <w:spacing w:after="0" w:line="440" w:lineRule="exact"/>
              <w:ind w:left="63" w:right="63"/>
              <w:rPr>
                <w:rFonts w:eastAsia="仿宋_GB2312"/>
                <w:color w:val="000000"/>
                <w:kern w:val="2"/>
                <w:sz w:val="28"/>
                <w:szCs w:val="30"/>
                <w:lang w:val="en-US" w:eastAsia="zh-CN"/>
              </w:rPr>
            </w:pPr>
          </w:p>
        </w:tc>
      </w:tr>
      <w:tr w14:paraId="4D141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C9619C">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AE37A26">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67103C1">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F19C1C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FFB89E5">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3926820">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DE2281D">
            <w:pPr>
              <w:pStyle w:val="2"/>
              <w:keepNext/>
              <w:spacing w:after="0" w:line="440" w:lineRule="exact"/>
              <w:ind w:left="63" w:right="63"/>
              <w:rPr>
                <w:rFonts w:eastAsia="仿宋_GB2312"/>
                <w:color w:val="000000"/>
                <w:kern w:val="2"/>
                <w:sz w:val="28"/>
                <w:szCs w:val="30"/>
                <w:lang w:val="en-US" w:eastAsia="zh-CN"/>
              </w:rPr>
            </w:pPr>
          </w:p>
        </w:tc>
      </w:tr>
      <w:tr w14:paraId="72F03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1FFC8C">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5D6E45D">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8685753">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94F032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C3B2907">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CE95B82">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09460D3">
            <w:pPr>
              <w:pStyle w:val="2"/>
              <w:keepNext/>
              <w:spacing w:after="0" w:line="440" w:lineRule="exact"/>
              <w:ind w:left="63" w:right="63"/>
              <w:rPr>
                <w:rFonts w:eastAsia="仿宋_GB2312"/>
                <w:color w:val="000000"/>
                <w:kern w:val="2"/>
                <w:sz w:val="28"/>
                <w:szCs w:val="30"/>
                <w:lang w:val="en-US" w:eastAsia="zh-CN"/>
              </w:rPr>
            </w:pPr>
          </w:p>
        </w:tc>
      </w:tr>
      <w:tr w14:paraId="4B73F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D4E322">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9DFE968">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0155342">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DBD08E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6F167D9">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66FB0B2">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837702E">
            <w:pPr>
              <w:pStyle w:val="2"/>
              <w:keepNext/>
              <w:spacing w:after="0" w:line="440" w:lineRule="exact"/>
              <w:ind w:left="63" w:right="63"/>
              <w:rPr>
                <w:rFonts w:eastAsia="仿宋_GB2312"/>
                <w:color w:val="000000"/>
                <w:kern w:val="2"/>
                <w:sz w:val="28"/>
                <w:szCs w:val="30"/>
                <w:lang w:val="en-US" w:eastAsia="zh-CN"/>
              </w:rPr>
            </w:pPr>
          </w:p>
        </w:tc>
      </w:tr>
      <w:tr w14:paraId="3F801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B151A1">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DC8430B">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610D0CE">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66E494D">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B6CE0DC">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D76C16C">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CA29E81">
            <w:pPr>
              <w:pStyle w:val="2"/>
              <w:keepNext/>
              <w:spacing w:after="0" w:line="440" w:lineRule="exact"/>
              <w:ind w:left="63" w:right="63"/>
              <w:rPr>
                <w:rFonts w:eastAsia="仿宋_GB2312"/>
                <w:color w:val="000000"/>
                <w:kern w:val="2"/>
                <w:sz w:val="28"/>
                <w:szCs w:val="30"/>
                <w:lang w:val="en-US" w:eastAsia="zh-CN"/>
              </w:rPr>
            </w:pPr>
          </w:p>
        </w:tc>
      </w:tr>
      <w:tr w14:paraId="1FFEF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5C42E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7698098">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E476DA2">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1296D4D">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F589A8D">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BC72D7E">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37F5829">
            <w:pPr>
              <w:pStyle w:val="2"/>
              <w:keepNext/>
              <w:spacing w:after="0" w:line="440" w:lineRule="exact"/>
              <w:ind w:left="63" w:right="63"/>
              <w:rPr>
                <w:rFonts w:eastAsia="仿宋_GB2312"/>
                <w:color w:val="000000"/>
                <w:kern w:val="2"/>
                <w:sz w:val="28"/>
                <w:szCs w:val="30"/>
                <w:lang w:val="en-US" w:eastAsia="zh-CN"/>
              </w:rPr>
            </w:pPr>
          </w:p>
        </w:tc>
      </w:tr>
      <w:tr w14:paraId="22B62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12DB06">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E57257B">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A41F29D">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E13110C">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CE5CD7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2D6A62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88C1FB7">
            <w:pPr>
              <w:pStyle w:val="2"/>
              <w:keepNext/>
              <w:spacing w:after="0" w:line="440" w:lineRule="exact"/>
              <w:ind w:left="63" w:right="63"/>
              <w:rPr>
                <w:rFonts w:eastAsia="仿宋_GB2312"/>
                <w:color w:val="000000"/>
                <w:kern w:val="2"/>
                <w:sz w:val="28"/>
                <w:szCs w:val="30"/>
                <w:lang w:val="en-US" w:eastAsia="zh-CN"/>
              </w:rPr>
            </w:pPr>
          </w:p>
        </w:tc>
      </w:tr>
      <w:tr w14:paraId="4CBC4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91FD03">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89317E4">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4C29BB6">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AA585A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3FFD76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10980B9">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82364DF">
            <w:pPr>
              <w:pStyle w:val="2"/>
              <w:keepNext/>
              <w:spacing w:after="0" w:line="440" w:lineRule="exact"/>
              <w:ind w:left="63" w:right="63"/>
              <w:rPr>
                <w:rFonts w:eastAsia="仿宋_GB2312"/>
                <w:color w:val="000000"/>
                <w:kern w:val="2"/>
                <w:sz w:val="28"/>
                <w:szCs w:val="30"/>
                <w:lang w:val="en-US" w:eastAsia="zh-CN"/>
              </w:rPr>
            </w:pPr>
          </w:p>
        </w:tc>
      </w:tr>
      <w:tr w14:paraId="50422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56CD13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BF9924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70E561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09846CF">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87AD6F2">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3919E52">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1B8BD32">
            <w:pPr>
              <w:pStyle w:val="2"/>
              <w:keepNext/>
              <w:spacing w:after="0" w:line="440" w:lineRule="exact"/>
              <w:ind w:left="63" w:right="63"/>
              <w:rPr>
                <w:rFonts w:eastAsia="仿宋_GB2312"/>
                <w:color w:val="000000"/>
                <w:kern w:val="2"/>
                <w:sz w:val="28"/>
                <w:szCs w:val="30"/>
                <w:lang w:val="en-US" w:eastAsia="zh-CN"/>
              </w:rPr>
            </w:pPr>
          </w:p>
        </w:tc>
      </w:tr>
      <w:tr w14:paraId="1A6FE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CD9134">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A6AA4B6">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3EC15F5">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65953C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686010C">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A3515AB">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B573B44">
            <w:pPr>
              <w:pStyle w:val="2"/>
              <w:keepNext/>
              <w:spacing w:after="0" w:line="440" w:lineRule="exact"/>
              <w:ind w:left="63" w:right="63"/>
              <w:rPr>
                <w:rFonts w:eastAsia="仿宋_GB2312"/>
                <w:color w:val="000000"/>
                <w:kern w:val="2"/>
                <w:sz w:val="28"/>
                <w:szCs w:val="30"/>
                <w:lang w:val="en-US" w:eastAsia="zh-CN"/>
              </w:rPr>
            </w:pPr>
          </w:p>
        </w:tc>
      </w:tr>
      <w:tr w14:paraId="78CE8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5E91E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B424B8A">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F84807B">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0E85F43">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E5D76D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A57C7C0">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D5E3836">
            <w:pPr>
              <w:pStyle w:val="2"/>
              <w:keepNext/>
              <w:spacing w:after="0" w:line="440" w:lineRule="exact"/>
              <w:ind w:left="63" w:right="63"/>
              <w:rPr>
                <w:rFonts w:eastAsia="仿宋_GB2312"/>
                <w:color w:val="000000"/>
                <w:kern w:val="2"/>
                <w:sz w:val="28"/>
                <w:szCs w:val="30"/>
                <w:lang w:val="en-US" w:eastAsia="zh-CN"/>
              </w:rPr>
            </w:pPr>
          </w:p>
        </w:tc>
      </w:tr>
      <w:tr w14:paraId="5A843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4F2AC6">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325CA4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1D47BFE">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70664A0">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2CD8330">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7358561">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AEE9FFB">
            <w:pPr>
              <w:pStyle w:val="2"/>
              <w:keepNext/>
              <w:spacing w:after="0" w:line="440" w:lineRule="exact"/>
              <w:ind w:left="63" w:right="63"/>
              <w:rPr>
                <w:rFonts w:eastAsia="仿宋_GB2312"/>
                <w:color w:val="000000"/>
                <w:kern w:val="2"/>
                <w:sz w:val="28"/>
                <w:szCs w:val="30"/>
                <w:lang w:val="en-US" w:eastAsia="zh-CN"/>
              </w:rPr>
            </w:pPr>
          </w:p>
        </w:tc>
      </w:tr>
      <w:tr w14:paraId="773F9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55B53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228AC25">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8117E35">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E8FB576">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202D120">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79937FB">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C6E4347">
            <w:pPr>
              <w:pStyle w:val="2"/>
              <w:keepNext/>
              <w:spacing w:after="0" w:line="440" w:lineRule="exact"/>
              <w:ind w:left="63" w:right="63"/>
              <w:rPr>
                <w:rFonts w:eastAsia="仿宋_GB2312"/>
                <w:color w:val="000000"/>
                <w:kern w:val="2"/>
                <w:sz w:val="28"/>
                <w:szCs w:val="30"/>
                <w:lang w:val="en-US" w:eastAsia="zh-CN"/>
              </w:rPr>
            </w:pPr>
          </w:p>
        </w:tc>
      </w:tr>
      <w:tr w14:paraId="0C1BF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D5030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CFFCE3B">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3342784">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752706F">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F35A10E">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36FFABB">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B74C7E6">
            <w:pPr>
              <w:pStyle w:val="2"/>
              <w:keepNext/>
              <w:spacing w:after="0" w:line="440" w:lineRule="exact"/>
              <w:ind w:left="63" w:right="63"/>
              <w:rPr>
                <w:rFonts w:eastAsia="仿宋_GB2312"/>
                <w:color w:val="000000"/>
                <w:kern w:val="2"/>
                <w:sz w:val="28"/>
                <w:szCs w:val="30"/>
                <w:lang w:val="en-US" w:eastAsia="zh-CN"/>
              </w:rPr>
            </w:pPr>
          </w:p>
        </w:tc>
      </w:tr>
      <w:tr w14:paraId="11078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ABD50C">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DB057F7">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EC6F47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E6E9F9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0A6F820">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935816E">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EF3F993">
            <w:pPr>
              <w:pStyle w:val="2"/>
              <w:keepNext/>
              <w:spacing w:after="0" w:line="440" w:lineRule="exact"/>
              <w:ind w:left="63" w:right="63"/>
              <w:rPr>
                <w:rFonts w:eastAsia="仿宋_GB2312"/>
                <w:color w:val="000000"/>
                <w:kern w:val="2"/>
                <w:sz w:val="28"/>
                <w:szCs w:val="30"/>
                <w:lang w:val="en-US" w:eastAsia="zh-CN"/>
              </w:rPr>
            </w:pPr>
          </w:p>
        </w:tc>
      </w:tr>
      <w:tr w14:paraId="0BDB4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FECA75">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35E739D">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DB8C67D">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815E3CB">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6B2A9E3">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FE0FFEC">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01D17C2">
            <w:pPr>
              <w:pStyle w:val="2"/>
              <w:keepNext/>
              <w:spacing w:after="0" w:line="440" w:lineRule="exact"/>
              <w:ind w:left="63" w:right="63"/>
              <w:rPr>
                <w:rFonts w:eastAsia="仿宋_GB2312"/>
                <w:color w:val="000000"/>
                <w:kern w:val="2"/>
                <w:sz w:val="28"/>
                <w:szCs w:val="30"/>
                <w:lang w:val="en-US" w:eastAsia="zh-CN"/>
              </w:rPr>
            </w:pPr>
          </w:p>
        </w:tc>
      </w:tr>
      <w:tr w14:paraId="2F41A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7F4BD5">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458FC4F">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F909FAC">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DE94096">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67B0F80">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319BA84">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05D8C1D">
            <w:pPr>
              <w:pStyle w:val="2"/>
              <w:keepNext/>
              <w:spacing w:after="0" w:line="440" w:lineRule="exact"/>
              <w:ind w:left="63" w:right="63"/>
              <w:rPr>
                <w:rFonts w:eastAsia="仿宋_GB2312"/>
                <w:color w:val="000000"/>
                <w:kern w:val="2"/>
                <w:sz w:val="28"/>
                <w:szCs w:val="30"/>
                <w:lang w:val="en-US" w:eastAsia="zh-CN"/>
              </w:rPr>
            </w:pPr>
          </w:p>
        </w:tc>
      </w:tr>
      <w:tr w14:paraId="34566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0D30B5">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939C88F">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F97E252">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431E3D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B8FCE8C">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7764C7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A7EF41F">
            <w:pPr>
              <w:pStyle w:val="2"/>
              <w:keepNext/>
              <w:spacing w:after="0" w:line="440" w:lineRule="exact"/>
              <w:ind w:left="63" w:right="63"/>
              <w:rPr>
                <w:rFonts w:eastAsia="仿宋_GB2312"/>
                <w:color w:val="000000"/>
                <w:kern w:val="2"/>
                <w:sz w:val="28"/>
                <w:szCs w:val="30"/>
                <w:lang w:val="en-US" w:eastAsia="zh-CN"/>
              </w:rPr>
            </w:pPr>
          </w:p>
        </w:tc>
      </w:tr>
      <w:tr w14:paraId="1041A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156122">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3A03CBD">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27BD940">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F2063BE">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7A80B6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58D1072">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1C64E7E">
            <w:pPr>
              <w:pStyle w:val="2"/>
              <w:keepNext/>
              <w:spacing w:after="0" w:line="440" w:lineRule="exact"/>
              <w:ind w:left="63" w:right="63"/>
              <w:rPr>
                <w:rFonts w:eastAsia="仿宋_GB2312"/>
                <w:color w:val="000000"/>
                <w:kern w:val="2"/>
                <w:sz w:val="28"/>
                <w:szCs w:val="30"/>
                <w:lang w:val="en-US" w:eastAsia="zh-CN"/>
              </w:rPr>
            </w:pPr>
          </w:p>
        </w:tc>
      </w:tr>
      <w:tr w14:paraId="1A076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91FDA0">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DFDFB28">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D1D683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B5A2F8C">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17A3722">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448F13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D8D3384">
            <w:pPr>
              <w:pStyle w:val="2"/>
              <w:keepNext/>
              <w:spacing w:after="0" w:line="440" w:lineRule="exact"/>
              <w:ind w:left="63" w:right="63"/>
              <w:rPr>
                <w:rFonts w:eastAsia="仿宋_GB2312"/>
                <w:color w:val="000000"/>
                <w:kern w:val="2"/>
                <w:sz w:val="28"/>
                <w:szCs w:val="30"/>
                <w:lang w:val="en-US" w:eastAsia="zh-CN"/>
              </w:rPr>
            </w:pPr>
          </w:p>
        </w:tc>
      </w:tr>
      <w:tr w14:paraId="3CEED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CB5D3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CB8B7C9">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752373A">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4D7D43D">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E1191A9">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F6A7F1A">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393B6E3">
            <w:pPr>
              <w:pStyle w:val="2"/>
              <w:keepNext/>
              <w:spacing w:after="0" w:line="440" w:lineRule="exact"/>
              <w:ind w:left="63" w:right="63"/>
              <w:rPr>
                <w:rFonts w:eastAsia="仿宋_GB2312"/>
                <w:color w:val="000000"/>
                <w:kern w:val="2"/>
                <w:sz w:val="28"/>
                <w:szCs w:val="30"/>
                <w:lang w:val="en-US" w:eastAsia="zh-CN"/>
              </w:rPr>
            </w:pPr>
          </w:p>
        </w:tc>
      </w:tr>
      <w:tr w14:paraId="16A33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D36661">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8D433EA">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27A76C3">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A442B2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BF4990A">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B99D84F">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3720E1F">
            <w:pPr>
              <w:pStyle w:val="2"/>
              <w:keepNext/>
              <w:spacing w:after="0" w:line="440" w:lineRule="exact"/>
              <w:ind w:left="63" w:right="63"/>
              <w:rPr>
                <w:rFonts w:eastAsia="仿宋_GB2312"/>
                <w:color w:val="000000"/>
                <w:kern w:val="2"/>
                <w:sz w:val="28"/>
                <w:szCs w:val="30"/>
                <w:lang w:val="en-US" w:eastAsia="zh-CN"/>
              </w:rPr>
            </w:pPr>
          </w:p>
        </w:tc>
      </w:tr>
    </w:tbl>
    <w:p w14:paraId="4D1879A1">
      <w:pPr>
        <w:spacing w:before="156" w:beforeLines="50" w:after="156" w:afterLines="50" w:line="440" w:lineRule="exact"/>
        <w:rPr>
          <w:rFonts w:hint="eastAsia" w:ascii="Times New Roman" w:hAnsi="Times New Roman" w:eastAsia="黑体"/>
          <w:color w:val="000000"/>
          <w:sz w:val="30"/>
          <w:szCs w:val="30"/>
        </w:rPr>
      </w:pPr>
    </w:p>
    <w:p w14:paraId="17D9F5C8">
      <w:pPr>
        <w:spacing w:before="156" w:beforeLines="50" w:after="156" w:afterLines="50" w:line="440" w:lineRule="exact"/>
        <w:jc w:val="center"/>
        <w:rPr>
          <w:rFonts w:ascii="Times New Roman" w:hAnsi="Times New Roman" w:eastAsia="黑体"/>
          <w:color w:val="000000"/>
          <w:sz w:val="30"/>
          <w:szCs w:val="30"/>
        </w:rPr>
      </w:pPr>
    </w:p>
    <w:p w14:paraId="673999B4">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1</w:t>
      </w:r>
      <w:r>
        <w:rPr>
          <w:rFonts w:hint="eastAsia" w:ascii="Times New Roman" w:hAnsi="Times New Roman" w:eastAsia="黑体"/>
          <w:color w:val="000000"/>
          <w:sz w:val="30"/>
          <w:szCs w:val="30"/>
          <w:lang w:val="en-US" w:eastAsia="zh-CN"/>
        </w:rPr>
        <w:t>4</w:t>
      </w:r>
      <w:r>
        <w:rPr>
          <w:rFonts w:ascii="Times New Roman" w:hAnsi="Times New Roman" w:eastAsia="黑体"/>
          <w:color w:val="000000"/>
          <w:sz w:val="30"/>
          <w:szCs w:val="30"/>
        </w:rPr>
        <w:t>-2：工程设备暂估价表</w:t>
      </w:r>
    </w:p>
    <w:tbl>
      <w:tblPr>
        <w:tblStyle w:val="5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DCEC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D200E6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984" w:type="dxa"/>
            <w:tcBorders>
              <w:top w:val="single" w:color="auto" w:sz="12" w:space="0"/>
              <w:bottom w:val="double" w:color="auto" w:sz="6" w:space="0"/>
            </w:tcBorders>
            <w:noWrap w:val="0"/>
            <w:vAlign w:val="top"/>
          </w:tcPr>
          <w:p w14:paraId="6306DAD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名称</w:t>
            </w:r>
          </w:p>
        </w:tc>
        <w:tc>
          <w:tcPr>
            <w:tcW w:w="851" w:type="dxa"/>
            <w:tcBorders>
              <w:top w:val="single" w:color="auto" w:sz="12" w:space="0"/>
              <w:bottom w:val="double" w:color="auto" w:sz="6" w:space="0"/>
            </w:tcBorders>
            <w:noWrap w:val="0"/>
            <w:vAlign w:val="top"/>
          </w:tcPr>
          <w:p w14:paraId="21270F89">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w:t>
            </w:r>
          </w:p>
        </w:tc>
        <w:tc>
          <w:tcPr>
            <w:tcW w:w="774" w:type="dxa"/>
            <w:tcBorders>
              <w:top w:val="single" w:color="auto" w:sz="12" w:space="0"/>
              <w:bottom w:val="double" w:color="auto" w:sz="6" w:space="0"/>
            </w:tcBorders>
            <w:noWrap w:val="0"/>
            <w:vAlign w:val="top"/>
          </w:tcPr>
          <w:p w14:paraId="500E903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1352" w:type="dxa"/>
            <w:tcBorders>
              <w:top w:val="single" w:color="auto" w:sz="12" w:space="0"/>
              <w:bottom w:val="double" w:color="auto" w:sz="6" w:space="0"/>
            </w:tcBorders>
            <w:noWrap w:val="0"/>
            <w:vAlign w:val="top"/>
          </w:tcPr>
          <w:p w14:paraId="56FED05B">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单价</w:t>
            </w:r>
            <w:r>
              <w:rPr>
                <w:rFonts w:hint="eastAsia" w:eastAsia="仿宋_GB2312"/>
                <w:color w:val="000000"/>
                <w:kern w:val="2"/>
                <w:sz w:val="28"/>
                <w:szCs w:val="30"/>
                <w:lang w:val="en-US" w:eastAsia="zh-CN"/>
              </w:rPr>
              <w:t>（元）</w:t>
            </w:r>
          </w:p>
        </w:tc>
        <w:tc>
          <w:tcPr>
            <w:tcW w:w="1418" w:type="dxa"/>
            <w:tcBorders>
              <w:top w:val="single" w:color="auto" w:sz="12" w:space="0"/>
              <w:bottom w:val="double" w:color="auto" w:sz="6" w:space="0"/>
            </w:tcBorders>
            <w:noWrap w:val="0"/>
            <w:vAlign w:val="top"/>
          </w:tcPr>
          <w:p w14:paraId="63CBCF9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合价</w:t>
            </w:r>
            <w:r>
              <w:rPr>
                <w:rFonts w:hint="eastAsia" w:eastAsia="仿宋_GB2312"/>
                <w:color w:val="000000"/>
                <w:kern w:val="2"/>
                <w:sz w:val="28"/>
                <w:szCs w:val="30"/>
                <w:lang w:val="en-US" w:eastAsia="zh-CN"/>
              </w:rPr>
              <w:t>（元）</w:t>
            </w:r>
          </w:p>
        </w:tc>
        <w:tc>
          <w:tcPr>
            <w:tcW w:w="1701" w:type="dxa"/>
            <w:tcBorders>
              <w:top w:val="single" w:color="auto" w:sz="12" w:space="0"/>
              <w:bottom w:val="double" w:color="auto" w:sz="6" w:space="0"/>
            </w:tcBorders>
            <w:noWrap w:val="0"/>
            <w:vAlign w:val="top"/>
          </w:tcPr>
          <w:p w14:paraId="211B5B7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58810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AE4AE99">
            <w:pPr>
              <w:pStyle w:val="2"/>
              <w:keepNext/>
              <w:spacing w:after="0" w:line="440" w:lineRule="exact"/>
              <w:ind w:left="63" w:right="63"/>
              <w:rPr>
                <w:rFonts w:eastAsia="仿宋_GB2312"/>
                <w:color w:val="000000"/>
                <w:kern w:val="2"/>
                <w:sz w:val="28"/>
                <w:szCs w:val="30"/>
                <w:lang w:val="en-US" w:eastAsia="zh-CN"/>
              </w:rPr>
            </w:pPr>
          </w:p>
        </w:tc>
        <w:tc>
          <w:tcPr>
            <w:tcW w:w="1984" w:type="dxa"/>
            <w:tcBorders>
              <w:top w:val="double" w:color="auto" w:sz="6" w:space="0"/>
              <w:bottom w:val="single" w:color="auto" w:sz="6" w:space="0"/>
            </w:tcBorders>
            <w:noWrap w:val="0"/>
            <w:vAlign w:val="top"/>
          </w:tcPr>
          <w:p w14:paraId="6A6BAE4C">
            <w:pPr>
              <w:pStyle w:val="2"/>
              <w:keepNext/>
              <w:spacing w:after="0" w:line="440" w:lineRule="exact"/>
              <w:ind w:left="63" w:right="63"/>
              <w:rPr>
                <w:rFonts w:eastAsia="仿宋_GB2312"/>
                <w:color w:val="000000"/>
                <w:kern w:val="2"/>
                <w:sz w:val="28"/>
                <w:szCs w:val="30"/>
                <w:lang w:val="en-US" w:eastAsia="zh-CN"/>
              </w:rPr>
            </w:pPr>
          </w:p>
        </w:tc>
        <w:tc>
          <w:tcPr>
            <w:tcW w:w="851" w:type="dxa"/>
            <w:tcBorders>
              <w:top w:val="double" w:color="auto" w:sz="6" w:space="0"/>
              <w:bottom w:val="single" w:color="auto" w:sz="6" w:space="0"/>
            </w:tcBorders>
            <w:noWrap w:val="0"/>
            <w:vAlign w:val="top"/>
          </w:tcPr>
          <w:p w14:paraId="6790A3DB">
            <w:pPr>
              <w:pStyle w:val="2"/>
              <w:keepNext/>
              <w:spacing w:after="0" w:line="440" w:lineRule="exact"/>
              <w:ind w:left="63" w:right="63"/>
              <w:rPr>
                <w:rFonts w:eastAsia="仿宋_GB2312"/>
                <w:color w:val="000000"/>
                <w:kern w:val="2"/>
                <w:sz w:val="28"/>
                <w:szCs w:val="30"/>
                <w:lang w:val="en-US" w:eastAsia="zh-CN"/>
              </w:rPr>
            </w:pPr>
          </w:p>
        </w:tc>
        <w:tc>
          <w:tcPr>
            <w:tcW w:w="774" w:type="dxa"/>
            <w:tcBorders>
              <w:top w:val="double" w:color="auto" w:sz="6" w:space="0"/>
              <w:bottom w:val="single" w:color="auto" w:sz="6" w:space="0"/>
            </w:tcBorders>
            <w:noWrap w:val="0"/>
            <w:vAlign w:val="top"/>
          </w:tcPr>
          <w:p w14:paraId="0DA25245">
            <w:pPr>
              <w:pStyle w:val="2"/>
              <w:keepNext/>
              <w:spacing w:after="0" w:line="440" w:lineRule="exact"/>
              <w:ind w:left="63" w:right="63"/>
              <w:rPr>
                <w:rFonts w:eastAsia="仿宋_GB2312"/>
                <w:color w:val="000000"/>
                <w:kern w:val="2"/>
                <w:sz w:val="28"/>
                <w:szCs w:val="30"/>
                <w:lang w:val="en-US" w:eastAsia="zh-CN"/>
              </w:rPr>
            </w:pPr>
          </w:p>
        </w:tc>
        <w:tc>
          <w:tcPr>
            <w:tcW w:w="1352" w:type="dxa"/>
            <w:tcBorders>
              <w:top w:val="double" w:color="auto" w:sz="6" w:space="0"/>
              <w:bottom w:val="single" w:color="auto" w:sz="6" w:space="0"/>
            </w:tcBorders>
            <w:noWrap w:val="0"/>
            <w:vAlign w:val="top"/>
          </w:tcPr>
          <w:p w14:paraId="29FF86FF">
            <w:pPr>
              <w:pStyle w:val="2"/>
              <w:keepNext/>
              <w:spacing w:after="0" w:line="440" w:lineRule="exact"/>
              <w:ind w:left="63" w:right="63"/>
              <w:rPr>
                <w:rFonts w:eastAsia="仿宋_GB2312"/>
                <w:color w:val="000000"/>
                <w:kern w:val="2"/>
                <w:sz w:val="28"/>
                <w:szCs w:val="30"/>
                <w:lang w:val="en-US" w:eastAsia="zh-CN"/>
              </w:rPr>
            </w:pPr>
          </w:p>
        </w:tc>
        <w:tc>
          <w:tcPr>
            <w:tcW w:w="1418" w:type="dxa"/>
            <w:tcBorders>
              <w:top w:val="double" w:color="auto" w:sz="6" w:space="0"/>
              <w:bottom w:val="single" w:color="auto" w:sz="6" w:space="0"/>
            </w:tcBorders>
            <w:noWrap w:val="0"/>
            <w:vAlign w:val="top"/>
          </w:tcPr>
          <w:p w14:paraId="04171E9E">
            <w:pPr>
              <w:pStyle w:val="2"/>
              <w:keepNext/>
              <w:spacing w:after="0" w:line="440" w:lineRule="exact"/>
              <w:ind w:left="63" w:right="63"/>
              <w:rPr>
                <w:rFonts w:eastAsia="仿宋_GB2312"/>
                <w:color w:val="000000"/>
                <w:kern w:val="2"/>
                <w:sz w:val="28"/>
                <w:szCs w:val="30"/>
                <w:lang w:val="en-US" w:eastAsia="zh-CN"/>
              </w:rPr>
            </w:pPr>
          </w:p>
        </w:tc>
        <w:tc>
          <w:tcPr>
            <w:tcW w:w="1701" w:type="dxa"/>
            <w:tcBorders>
              <w:top w:val="double" w:color="auto" w:sz="6" w:space="0"/>
              <w:bottom w:val="single" w:color="auto" w:sz="6" w:space="0"/>
            </w:tcBorders>
            <w:noWrap w:val="0"/>
            <w:vAlign w:val="top"/>
          </w:tcPr>
          <w:p w14:paraId="10B8737B">
            <w:pPr>
              <w:pStyle w:val="2"/>
              <w:keepNext/>
              <w:spacing w:after="0" w:line="440" w:lineRule="exact"/>
              <w:ind w:left="63" w:right="63"/>
              <w:rPr>
                <w:rFonts w:eastAsia="仿宋_GB2312"/>
                <w:color w:val="000000"/>
                <w:kern w:val="2"/>
                <w:sz w:val="28"/>
                <w:szCs w:val="30"/>
                <w:lang w:val="en-US" w:eastAsia="zh-CN"/>
              </w:rPr>
            </w:pPr>
          </w:p>
        </w:tc>
      </w:tr>
      <w:tr w14:paraId="0A828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A9A003F">
            <w:pPr>
              <w:pStyle w:val="2"/>
              <w:keepNext/>
              <w:spacing w:after="0" w:line="440" w:lineRule="exact"/>
              <w:ind w:left="63" w:right="63"/>
              <w:rPr>
                <w:rFonts w:eastAsia="仿宋_GB2312"/>
                <w:color w:val="000000"/>
                <w:kern w:val="2"/>
                <w:sz w:val="28"/>
                <w:szCs w:val="30"/>
                <w:lang w:val="en-US" w:eastAsia="zh-CN"/>
              </w:rPr>
            </w:pPr>
          </w:p>
        </w:tc>
        <w:tc>
          <w:tcPr>
            <w:tcW w:w="1984" w:type="dxa"/>
            <w:tcBorders>
              <w:top w:val="nil"/>
            </w:tcBorders>
            <w:noWrap w:val="0"/>
            <w:vAlign w:val="top"/>
          </w:tcPr>
          <w:p w14:paraId="40B8C362">
            <w:pPr>
              <w:pStyle w:val="2"/>
              <w:keepNext/>
              <w:spacing w:after="0" w:line="440" w:lineRule="exact"/>
              <w:ind w:left="63" w:right="63"/>
              <w:rPr>
                <w:rFonts w:eastAsia="仿宋_GB2312"/>
                <w:color w:val="000000"/>
                <w:kern w:val="2"/>
                <w:sz w:val="28"/>
                <w:szCs w:val="30"/>
                <w:lang w:val="en-US" w:eastAsia="zh-CN"/>
              </w:rPr>
            </w:pPr>
          </w:p>
        </w:tc>
        <w:tc>
          <w:tcPr>
            <w:tcW w:w="851" w:type="dxa"/>
            <w:tcBorders>
              <w:top w:val="nil"/>
            </w:tcBorders>
            <w:noWrap w:val="0"/>
            <w:vAlign w:val="top"/>
          </w:tcPr>
          <w:p w14:paraId="0893B6F8">
            <w:pPr>
              <w:pStyle w:val="2"/>
              <w:keepNext/>
              <w:spacing w:after="0" w:line="440" w:lineRule="exact"/>
              <w:ind w:left="63" w:right="63"/>
              <w:rPr>
                <w:rFonts w:eastAsia="仿宋_GB2312"/>
                <w:color w:val="000000"/>
                <w:kern w:val="2"/>
                <w:sz w:val="28"/>
                <w:szCs w:val="30"/>
                <w:lang w:val="en-US" w:eastAsia="zh-CN"/>
              </w:rPr>
            </w:pPr>
          </w:p>
        </w:tc>
        <w:tc>
          <w:tcPr>
            <w:tcW w:w="774" w:type="dxa"/>
            <w:tcBorders>
              <w:top w:val="nil"/>
            </w:tcBorders>
            <w:noWrap w:val="0"/>
            <w:vAlign w:val="top"/>
          </w:tcPr>
          <w:p w14:paraId="0DD8EDD7">
            <w:pPr>
              <w:pStyle w:val="2"/>
              <w:keepNext/>
              <w:spacing w:after="0" w:line="440" w:lineRule="exact"/>
              <w:ind w:left="63" w:right="63"/>
              <w:rPr>
                <w:rFonts w:eastAsia="仿宋_GB2312"/>
                <w:color w:val="000000"/>
                <w:kern w:val="2"/>
                <w:sz w:val="28"/>
                <w:szCs w:val="30"/>
                <w:lang w:val="en-US" w:eastAsia="zh-CN"/>
              </w:rPr>
            </w:pPr>
          </w:p>
        </w:tc>
        <w:tc>
          <w:tcPr>
            <w:tcW w:w="1352" w:type="dxa"/>
            <w:tcBorders>
              <w:top w:val="nil"/>
            </w:tcBorders>
            <w:noWrap w:val="0"/>
            <w:vAlign w:val="top"/>
          </w:tcPr>
          <w:p w14:paraId="70687A97">
            <w:pPr>
              <w:pStyle w:val="2"/>
              <w:keepNext/>
              <w:spacing w:after="0" w:line="440" w:lineRule="exact"/>
              <w:ind w:left="63" w:right="63"/>
              <w:rPr>
                <w:rFonts w:eastAsia="仿宋_GB2312"/>
                <w:color w:val="000000"/>
                <w:kern w:val="2"/>
                <w:sz w:val="28"/>
                <w:szCs w:val="30"/>
                <w:lang w:val="en-US" w:eastAsia="zh-CN"/>
              </w:rPr>
            </w:pPr>
          </w:p>
        </w:tc>
        <w:tc>
          <w:tcPr>
            <w:tcW w:w="1418" w:type="dxa"/>
            <w:tcBorders>
              <w:top w:val="nil"/>
            </w:tcBorders>
            <w:noWrap w:val="0"/>
            <w:vAlign w:val="top"/>
          </w:tcPr>
          <w:p w14:paraId="7814537F">
            <w:pPr>
              <w:pStyle w:val="2"/>
              <w:keepNext/>
              <w:spacing w:after="0" w:line="440" w:lineRule="exact"/>
              <w:ind w:left="63" w:right="63"/>
              <w:rPr>
                <w:rFonts w:eastAsia="仿宋_GB2312"/>
                <w:color w:val="000000"/>
                <w:kern w:val="2"/>
                <w:sz w:val="28"/>
                <w:szCs w:val="30"/>
                <w:lang w:val="en-US" w:eastAsia="zh-CN"/>
              </w:rPr>
            </w:pPr>
          </w:p>
        </w:tc>
        <w:tc>
          <w:tcPr>
            <w:tcW w:w="1701" w:type="dxa"/>
            <w:tcBorders>
              <w:top w:val="nil"/>
            </w:tcBorders>
            <w:noWrap w:val="0"/>
            <w:vAlign w:val="top"/>
          </w:tcPr>
          <w:p w14:paraId="004EA7C7">
            <w:pPr>
              <w:pStyle w:val="2"/>
              <w:keepNext/>
              <w:spacing w:after="0" w:line="440" w:lineRule="exact"/>
              <w:ind w:left="63" w:right="63"/>
              <w:rPr>
                <w:rFonts w:eastAsia="仿宋_GB2312"/>
                <w:color w:val="000000"/>
                <w:kern w:val="2"/>
                <w:sz w:val="28"/>
                <w:szCs w:val="30"/>
                <w:lang w:val="en-US" w:eastAsia="zh-CN"/>
              </w:rPr>
            </w:pPr>
          </w:p>
        </w:tc>
      </w:tr>
      <w:tr w14:paraId="68FE8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63C474">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988BD2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3BFCCB6">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130F63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C85D76A">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B5BF1A4">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B8E4D5A">
            <w:pPr>
              <w:pStyle w:val="2"/>
              <w:keepNext/>
              <w:spacing w:after="0" w:line="440" w:lineRule="exact"/>
              <w:ind w:left="63" w:right="63"/>
              <w:rPr>
                <w:rFonts w:eastAsia="仿宋_GB2312"/>
                <w:color w:val="000000"/>
                <w:kern w:val="2"/>
                <w:sz w:val="28"/>
                <w:szCs w:val="30"/>
                <w:lang w:val="en-US" w:eastAsia="zh-CN"/>
              </w:rPr>
            </w:pPr>
          </w:p>
        </w:tc>
      </w:tr>
      <w:tr w14:paraId="4DBFD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3E5FF3">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7362C05">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7F83FBA">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505CC1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8FAC703">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7A65AAD">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D418C56">
            <w:pPr>
              <w:pStyle w:val="2"/>
              <w:keepNext/>
              <w:spacing w:after="0" w:line="440" w:lineRule="exact"/>
              <w:ind w:left="63" w:right="63"/>
              <w:rPr>
                <w:rFonts w:eastAsia="仿宋_GB2312"/>
                <w:color w:val="000000"/>
                <w:kern w:val="2"/>
                <w:sz w:val="28"/>
                <w:szCs w:val="30"/>
                <w:lang w:val="en-US" w:eastAsia="zh-CN"/>
              </w:rPr>
            </w:pPr>
          </w:p>
        </w:tc>
      </w:tr>
      <w:tr w14:paraId="76D78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D4584C">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FB5B3F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3E3D710">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C74300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B8AEB10">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7AA2521">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2DEE967">
            <w:pPr>
              <w:pStyle w:val="2"/>
              <w:keepNext/>
              <w:spacing w:after="0" w:line="440" w:lineRule="exact"/>
              <w:ind w:left="63" w:right="63"/>
              <w:rPr>
                <w:rFonts w:eastAsia="仿宋_GB2312"/>
                <w:color w:val="000000"/>
                <w:kern w:val="2"/>
                <w:sz w:val="28"/>
                <w:szCs w:val="30"/>
                <w:lang w:val="en-US" w:eastAsia="zh-CN"/>
              </w:rPr>
            </w:pPr>
          </w:p>
        </w:tc>
      </w:tr>
      <w:tr w14:paraId="4BCC7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2D4E3B">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8E2846B">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DF368A8">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FDBE9FE">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BBBA2D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2211887">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D2F58A4">
            <w:pPr>
              <w:pStyle w:val="2"/>
              <w:keepNext/>
              <w:spacing w:after="0" w:line="440" w:lineRule="exact"/>
              <w:ind w:left="63" w:right="63"/>
              <w:rPr>
                <w:rFonts w:eastAsia="仿宋_GB2312"/>
                <w:color w:val="000000"/>
                <w:kern w:val="2"/>
                <w:sz w:val="28"/>
                <w:szCs w:val="30"/>
                <w:lang w:val="en-US" w:eastAsia="zh-CN"/>
              </w:rPr>
            </w:pPr>
          </w:p>
        </w:tc>
      </w:tr>
      <w:tr w14:paraId="2B9A0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CD4FF9">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1F49F79">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9ABED5F">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D61925B">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94782F7">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5C32386">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53C394A">
            <w:pPr>
              <w:pStyle w:val="2"/>
              <w:keepNext/>
              <w:spacing w:after="0" w:line="440" w:lineRule="exact"/>
              <w:ind w:left="63" w:right="63"/>
              <w:rPr>
                <w:rFonts w:eastAsia="仿宋_GB2312"/>
                <w:color w:val="000000"/>
                <w:kern w:val="2"/>
                <w:sz w:val="28"/>
                <w:szCs w:val="30"/>
                <w:lang w:val="en-US" w:eastAsia="zh-CN"/>
              </w:rPr>
            </w:pPr>
          </w:p>
        </w:tc>
      </w:tr>
      <w:tr w14:paraId="06624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FB14AB">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EEDC515">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AC12D60">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99E4483">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944E372">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CB3AC91">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E2AB163">
            <w:pPr>
              <w:pStyle w:val="2"/>
              <w:keepNext/>
              <w:spacing w:after="0" w:line="440" w:lineRule="exact"/>
              <w:ind w:left="63" w:right="63"/>
              <w:rPr>
                <w:rFonts w:eastAsia="仿宋_GB2312"/>
                <w:color w:val="000000"/>
                <w:kern w:val="2"/>
                <w:sz w:val="28"/>
                <w:szCs w:val="30"/>
                <w:lang w:val="en-US" w:eastAsia="zh-CN"/>
              </w:rPr>
            </w:pPr>
          </w:p>
        </w:tc>
      </w:tr>
      <w:tr w14:paraId="040C1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54D311">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32C5A67">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0750BB6">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88781D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78ACD7D">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A142D80">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CCEF50F">
            <w:pPr>
              <w:pStyle w:val="2"/>
              <w:keepNext/>
              <w:spacing w:after="0" w:line="440" w:lineRule="exact"/>
              <w:ind w:left="63" w:right="63"/>
              <w:rPr>
                <w:rFonts w:eastAsia="仿宋_GB2312"/>
                <w:color w:val="000000"/>
                <w:kern w:val="2"/>
                <w:sz w:val="28"/>
                <w:szCs w:val="30"/>
                <w:lang w:val="en-US" w:eastAsia="zh-CN"/>
              </w:rPr>
            </w:pPr>
          </w:p>
        </w:tc>
      </w:tr>
      <w:tr w14:paraId="07A18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10A39F">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2AA1EE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C18530C">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CCAE924">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27652D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3A80602">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57091EA">
            <w:pPr>
              <w:pStyle w:val="2"/>
              <w:keepNext/>
              <w:spacing w:after="0" w:line="440" w:lineRule="exact"/>
              <w:ind w:left="63" w:right="63"/>
              <w:rPr>
                <w:rFonts w:eastAsia="仿宋_GB2312"/>
                <w:color w:val="000000"/>
                <w:kern w:val="2"/>
                <w:sz w:val="28"/>
                <w:szCs w:val="30"/>
                <w:lang w:val="en-US" w:eastAsia="zh-CN"/>
              </w:rPr>
            </w:pPr>
          </w:p>
        </w:tc>
      </w:tr>
      <w:tr w14:paraId="423C4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42581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463DDA1">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EFB149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D76A7E8">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5864B5F">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39D2C18">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F8AA94A">
            <w:pPr>
              <w:pStyle w:val="2"/>
              <w:keepNext/>
              <w:spacing w:after="0" w:line="440" w:lineRule="exact"/>
              <w:ind w:left="63" w:right="63"/>
              <w:rPr>
                <w:rFonts w:eastAsia="仿宋_GB2312"/>
                <w:color w:val="000000"/>
                <w:kern w:val="2"/>
                <w:sz w:val="28"/>
                <w:szCs w:val="30"/>
                <w:lang w:val="en-US" w:eastAsia="zh-CN"/>
              </w:rPr>
            </w:pPr>
          </w:p>
        </w:tc>
      </w:tr>
      <w:tr w14:paraId="74E8B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E5E792">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8C723B7">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460A33B">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313A37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F474BF2">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C9F7DD1">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1C5F6B0">
            <w:pPr>
              <w:pStyle w:val="2"/>
              <w:keepNext/>
              <w:spacing w:after="0" w:line="440" w:lineRule="exact"/>
              <w:ind w:left="63" w:right="63"/>
              <w:rPr>
                <w:rFonts w:eastAsia="仿宋_GB2312"/>
                <w:color w:val="000000"/>
                <w:kern w:val="2"/>
                <w:sz w:val="28"/>
                <w:szCs w:val="30"/>
                <w:lang w:val="en-US" w:eastAsia="zh-CN"/>
              </w:rPr>
            </w:pPr>
          </w:p>
        </w:tc>
      </w:tr>
      <w:tr w14:paraId="43AC8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6F8155">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6719E4F">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FE09DA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D5CD2CE">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94BF7AC">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AAD104D">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E48DC1D">
            <w:pPr>
              <w:pStyle w:val="2"/>
              <w:keepNext/>
              <w:spacing w:after="0" w:line="440" w:lineRule="exact"/>
              <w:ind w:left="63" w:right="63"/>
              <w:rPr>
                <w:rFonts w:eastAsia="仿宋_GB2312"/>
                <w:color w:val="000000"/>
                <w:kern w:val="2"/>
                <w:sz w:val="28"/>
                <w:szCs w:val="30"/>
                <w:lang w:val="en-US" w:eastAsia="zh-CN"/>
              </w:rPr>
            </w:pPr>
          </w:p>
        </w:tc>
      </w:tr>
      <w:tr w14:paraId="7C37D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0EA4BF">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786006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7F62488">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A0E881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98A797E">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334996D">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82BEBA9">
            <w:pPr>
              <w:pStyle w:val="2"/>
              <w:keepNext/>
              <w:spacing w:after="0" w:line="440" w:lineRule="exact"/>
              <w:ind w:left="63" w:right="63"/>
              <w:rPr>
                <w:rFonts w:eastAsia="仿宋_GB2312"/>
                <w:color w:val="000000"/>
                <w:kern w:val="2"/>
                <w:sz w:val="28"/>
                <w:szCs w:val="30"/>
                <w:lang w:val="en-US" w:eastAsia="zh-CN"/>
              </w:rPr>
            </w:pPr>
          </w:p>
        </w:tc>
      </w:tr>
      <w:tr w14:paraId="40B0E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A7B1FB">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9C5EBE5">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E5E734C">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5E7836E">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EA9793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8C19A69">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273AA0E">
            <w:pPr>
              <w:pStyle w:val="2"/>
              <w:keepNext/>
              <w:spacing w:after="0" w:line="440" w:lineRule="exact"/>
              <w:ind w:left="63" w:right="63"/>
              <w:rPr>
                <w:rFonts w:eastAsia="仿宋_GB2312"/>
                <w:color w:val="000000"/>
                <w:kern w:val="2"/>
                <w:sz w:val="28"/>
                <w:szCs w:val="30"/>
                <w:lang w:val="en-US" w:eastAsia="zh-CN"/>
              </w:rPr>
            </w:pPr>
          </w:p>
        </w:tc>
      </w:tr>
      <w:tr w14:paraId="04C80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A9FD67">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18BBCE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5998120">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B8E0248">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43CF88F">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6EDD989">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D583303">
            <w:pPr>
              <w:pStyle w:val="2"/>
              <w:keepNext/>
              <w:spacing w:after="0" w:line="440" w:lineRule="exact"/>
              <w:ind w:left="63" w:right="63"/>
              <w:rPr>
                <w:rFonts w:eastAsia="仿宋_GB2312"/>
                <w:color w:val="000000"/>
                <w:kern w:val="2"/>
                <w:sz w:val="28"/>
                <w:szCs w:val="30"/>
                <w:lang w:val="en-US" w:eastAsia="zh-CN"/>
              </w:rPr>
            </w:pPr>
          </w:p>
        </w:tc>
      </w:tr>
      <w:tr w14:paraId="24024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AB44A0">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C8C12D0">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2EE84B1">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F1DC7F5">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B3AFAB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71170B5">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493425C">
            <w:pPr>
              <w:pStyle w:val="2"/>
              <w:keepNext/>
              <w:spacing w:after="0" w:line="440" w:lineRule="exact"/>
              <w:ind w:left="63" w:right="63"/>
              <w:rPr>
                <w:rFonts w:eastAsia="仿宋_GB2312"/>
                <w:color w:val="000000"/>
                <w:kern w:val="2"/>
                <w:sz w:val="28"/>
                <w:szCs w:val="30"/>
                <w:lang w:val="en-US" w:eastAsia="zh-CN"/>
              </w:rPr>
            </w:pPr>
          </w:p>
        </w:tc>
      </w:tr>
      <w:tr w14:paraId="58EB4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FDA142">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8A8435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B5CD890">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6C631CD">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846B99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805FB9B">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00CD7F0">
            <w:pPr>
              <w:pStyle w:val="2"/>
              <w:keepNext/>
              <w:spacing w:after="0" w:line="440" w:lineRule="exact"/>
              <w:ind w:left="63" w:right="63"/>
              <w:rPr>
                <w:rFonts w:eastAsia="仿宋_GB2312"/>
                <w:color w:val="000000"/>
                <w:kern w:val="2"/>
                <w:sz w:val="28"/>
                <w:szCs w:val="30"/>
                <w:lang w:val="en-US" w:eastAsia="zh-CN"/>
              </w:rPr>
            </w:pPr>
          </w:p>
        </w:tc>
      </w:tr>
      <w:tr w14:paraId="5BDD5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4ED726">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EA76C70">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E1C50F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0D8B7F5">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A4B6C1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8183B1D">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2DAE089">
            <w:pPr>
              <w:pStyle w:val="2"/>
              <w:keepNext/>
              <w:spacing w:after="0" w:line="440" w:lineRule="exact"/>
              <w:ind w:left="63" w:right="63"/>
              <w:rPr>
                <w:rFonts w:eastAsia="仿宋_GB2312"/>
                <w:color w:val="000000"/>
                <w:kern w:val="2"/>
                <w:sz w:val="28"/>
                <w:szCs w:val="30"/>
                <w:lang w:val="en-US" w:eastAsia="zh-CN"/>
              </w:rPr>
            </w:pPr>
          </w:p>
        </w:tc>
      </w:tr>
      <w:tr w14:paraId="19F0A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0F3B0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E528C66">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AD40A7A">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7F82FDB">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315CDE5">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ED22B72">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1D43150">
            <w:pPr>
              <w:pStyle w:val="2"/>
              <w:keepNext/>
              <w:spacing w:after="0" w:line="440" w:lineRule="exact"/>
              <w:ind w:left="63" w:right="63"/>
              <w:rPr>
                <w:rFonts w:eastAsia="仿宋_GB2312"/>
                <w:color w:val="000000"/>
                <w:kern w:val="2"/>
                <w:sz w:val="28"/>
                <w:szCs w:val="30"/>
                <w:lang w:val="en-US" w:eastAsia="zh-CN"/>
              </w:rPr>
            </w:pPr>
          </w:p>
        </w:tc>
      </w:tr>
      <w:tr w14:paraId="38C0A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49010B">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3480F6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5894E01">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6B2E520">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2197D3E">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57A6F05">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345A956">
            <w:pPr>
              <w:pStyle w:val="2"/>
              <w:keepNext/>
              <w:spacing w:after="0" w:line="440" w:lineRule="exact"/>
              <w:ind w:left="63" w:right="63"/>
              <w:rPr>
                <w:rFonts w:eastAsia="仿宋_GB2312"/>
                <w:color w:val="000000"/>
                <w:kern w:val="2"/>
                <w:sz w:val="28"/>
                <w:szCs w:val="30"/>
                <w:lang w:val="en-US" w:eastAsia="zh-CN"/>
              </w:rPr>
            </w:pPr>
          </w:p>
        </w:tc>
      </w:tr>
      <w:tr w14:paraId="52DEB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D35F3F">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4F194F5">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71FA8D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5D28AE4">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3E8AC8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93C8C71">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996E87E">
            <w:pPr>
              <w:pStyle w:val="2"/>
              <w:keepNext/>
              <w:spacing w:after="0" w:line="440" w:lineRule="exact"/>
              <w:ind w:left="63" w:right="63"/>
              <w:rPr>
                <w:rFonts w:eastAsia="仿宋_GB2312"/>
                <w:color w:val="000000"/>
                <w:kern w:val="2"/>
                <w:sz w:val="28"/>
                <w:szCs w:val="30"/>
                <w:lang w:val="en-US" w:eastAsia="zh-CN"/>
              </w:rPr>
            </w:pPr>
          </w:p>
        </w:tc>
      </w:tr>
      <w:tr w14:paraId="02A8E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F39A62">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30C241D">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0F18D4E">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B4163E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84F58B7">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0702D1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725BB49">
            <w:pPr>
              <w:pStyle w:val="2"/>
              <w:keepNext/>
              <w:spacing w:after="0" w:line="440" w:lineRule="exact"/>
              <w:ind w:left="63" w:right="63"/>
              <w:rPr>
                <w:rFonts w:eastAsia="仿宋_GB2312"/>
                <w:color w:val="000000"/>
                <w:kern w:val="2"/>
                <w:sz w:val="28"/>
                <w:szCs w:val="30"/>
                <w:lang w:val="en-US" w:eastAsia="zh-CN"/>
              </w:rPr>
            </w:pPr>
          </w:p>
        </w:tc>
      </w:tr>
      <w:tr w14:paraId="145A4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96600C">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8C45D59">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06C68A1">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BE7BD0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8FBFDA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DBB535B">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ECDD270">
            <w:pPr>
              <w:pStyle w:val="2"/>
              <w:keepNext/>
              <w:spacing w:after="0" w:line="440" w:lineRule="exact"/>
              <w:ind w:left="63" w:right="63"/>
              <w:rPr>
                <w:rFonts w:eastAsia="仿宋_GB2312"/>
                <w:color w:val="000000"/>
                <w:kern w:val="2"/>
                <w:sz w:val="28"/>
                <w:szCs w:val="30"/>
                <w:lang w:val="en-US" w:eastAsia="zh-CN"/>
              </w:rPr>
            </w:pPr>
          </w:p>
        </w:tc>
      </w:tr>
      <w:tr w14:paraId="34C82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6B9C27">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759BF34">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2D871FE">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89F29E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78293B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8666BA9">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C95D989">
            <w:pPr>
              <w:pStyle w:val="2"/>
              <w:keepNext/>
              <w:spacing w:after="0" w:line="440" w:lineRule="exact"/>
              <w:ind w:left="63" w:right="63"/>
              <w:rPr>
                <w:rFonts w:eastAsia="仿宋_GB2312"/>
                <w:color w:val="000000"/>
                <w:kern w:val="2"/>
                <w:sz w:val="28"/>
                <w:szCs w:val="30"/>
                <w:lang w:val="en-US" w:eastAsia="zh-CN"/>
              </w:rPr>
            </w:pPr>
          </w:p>
        </w:tc>
      </w:tr>
    </w:tbl>
    <w:p w14:paraId="3CD0F816">
      <w:pPr>
        <w:spacing w:line="440" w:lineRule="exact"/>
        <w:rPr>
          <w:rFonts w:ascii="Times New Roman" w:hAnsi="Times New Roman" w:eastAsia="仿宋_GB2312"/>
          <w:color w:val="000000"/>
          <w:sz w:val="30"/>
          <w:szCs w:val="30"/>
        </w:rPr>
      </w:pPr>
    </w:p>
    <w:p w14:paraId="1EE71512">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黑体"/>
          <w:color w:val="000000"/>
          <w:sz w:val="30"/>
          <w:szCs w:val="30"/>
        </w:rPr>
        <w:t>1</w:t>
      </w:r>
      <w:r>
        <w:rPr>
          <w:rFonts w:hint="eastAsia" w:ascii="Times New Roman" w:hAnsi="Times New Roman" w:eastAsia="黑体"/>
          <w:color w:val="000000"/>
          <w:sz w:val="30"/>
          <w:szCs w:val="30"/>
          <w:lang w:val="en-US" w:eastAsia="zh-CN"/>
        </w:rPr>
        <w:t>4</w:t>
      </w:r>
      <w:r>
        <w:rPr>
          <w:rFonts w:ascii="Times New Roman" w:hAnsi="Times New Roman" w:eastAsia="黑体"/>
          <w:color w:val="000000"/>
          <w:sz w:val="30"/>
          <w:szCs w:val="30"/>
        </w:rPr>
        <w:t>-3：专业工程暂估价表</w:t>
      </w:r>
    </w:p>
    <w:tbl>
      <w:tblPr>
        <w:tblStyle w:val="53"/>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967A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5511E0C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984" w:type="dxa"/>
            <w:tcBorders>
              <w:top w:val="single" w:color="auto" w:sz="12" w:space="0"/>
              <w:bottom w:val="double" w:color="auto" w:sz="6" w:space="0"/>
            </w:tcBorders>
            <w:noWrap w:val="0"/>
            <w:vAlign w:val="top"/>
          </w:tcPr>
          <w:p w14:paraId="31C7A38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专业工程名称</w:t>
            </w:r>
          </w:p>
        </w:tc>
        <w:tc>
          <w:tcPr>
            <w:tcW w:w="4678" w:type="dxa"/>
            <w:tcBorders>
              <w:top w:val="single" w:color="auto" w:sz="12" w:space="0"/>
              <w:bottom w:val="double" w:color="auto" w:sz="6" w:space="0"/>
            </w:tcBorders>
            <w:noWrap w:val="0"/>
            <w:vAlign w:val="top"/>
          </w:tcPr>
          <w:p w14:paraId="14C269D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工程内容</w:t>
            </w:r>
          </w:p>
        </w:tc>
        <w:tc>
          <w:tcPr>
            <w:tcW w:w="1276" w:type="dxa"/>
            <w:tcBorders>
              <w:top w:val="single" w:color="auto" w:sz="12" w:space="0"/>
              <w:bottom w:val="double" w:color="auto" w:sz="6" w:space="0"/>
            </w:tcBorders>
            <w:noWrap w:val="0"/>
            <w:vAlign w:val="top"/>
          </w:tcPr>
          <w:p w14:paraId="0BA4B91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金额</w:t>
            </w:r>
          </w:p>
        </w:tc>
      </w:tr>
      <w:tr w14:paraId="480CB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193462C5">
            <w:pPr>
              <w:pStyle w:val="2"/>
              <w:keepNext/>
              <w:spacing w:after="0" w:line="440" w:lineRule="exact"/>
              <w:ind w:left="63" w:right="63"/>
              <w:rPr>
                <w:color w:val="000000"/>
                <w:kern w:val="2"/>
                <w:sz w:val="21"/>
                <w:szCs w:val="21"/>
                <w:lang w:val="en-US" w:eastAsia="zh-CN"/>
              </w:rPr>
            </w:pPr>
          </w:p>
        </w:tc>
        <w:tc>
          <w:tcPr>
            <w:tcW w:w="1984" w:type="dxa"/>
            <w:tcBorders>
              <w:top w:val="double" w:color="auto" w:sz="6" w:space="0"/>
              <w:bottom w:val="single" w:color="auto" w:sz="6" w:space="0"/>
            </w:tcBorders>
            <w:noWrap w:val="0"/>
            <w:vAlign w:val="top"/>
          </w:tcPr>
          <w:p w14:paraId="63C8234C">
            <w:pPr>
              <w:pStyle w:val="2"/>
              <w:keepNext/>
              <w:spacing w:after="0" w:line="440" w:lineRule="exact"/>
              <w:ind w:left="63" w:right="63"/>
              <w:rPr>
                <w:color w:val="000000"/>
                <w:kern w:val="2"/>
                <w:sz w:val="21"/>
                <w:szCs w:val="21"/>
                <w:lang w:val="en-US" w:eastAsia="zh-CN"/>
              </w:rPr>
            </w:pPr>
          </w:p>
        </w:tc>
        <w:tc>
          <w:tcPr>
            <w:tcW w:w="4678" w:type="dxa"/>
            <w:tcBorders>
              <w:top w:val="double" w:color="auto" w:sz="6" w:space="0"/>
              <w:bottom w:val="single" w:color="auto" w:sz="6" w:space="0"/>
            </w:tcBorders>
            <w:noWrap w:val="0"/>
            <w:vAlign w:val="top"/>
          </w:tcPr>
          <w:p w14:paraId="5F8EF3E0">
            <w:pPr>
              <w:pStyle w:val="2"/>
              <w:keepNext/>
              <w:spacing w:after="0" w:line="440" w:lineRule="exact"/>
              <w:ind w:left="63" w:right="63"/>
              <w:rPr>
                <w:color w:val="000000"/>
                <w:kern w:val="2"/>
                <w:sz w:val="21"/>
                <w:szCs w:val="21"/>
                <w:lang w:val="en-US" w:eastAsia="zh-CN"/>
              </w:rPr>
            </w:pPr>
          </w:p>
        </w:tc>
        <w:tc>
          <w:tcPr>
            <w:tcW w:w="1276" w:type="dxa"/>
            <w:tcBorders>
              <w:top w:val="double" w:color="auto" w:sz="6" w:space="0"/>
              <w:bottom w:val="single" w:color="auto" w:sz="6" w:space="0"/>
            </w:tcBorders>
            <w:noWrap w:val="0"/>
            <w:vAlign w:val="top"/>
          </w:tcPr>
          <w:p w14:paraId="7F83B643">
            <w:pPr>
              <w:pStyle w:val="2"/>
              <w:keepNext/>
              <w:spacing w:after="0" w:line="440" w:lineRule="exact"/>
              <w:ind w:left="63" w:right="63"/>
              <w:rPr>
                <w:color w:val="000000"/>
                <w:kern w:val="2"/>
                <w:sz w:val="21"/>
                <w:szCs w:val="21"/>
                <w:lang w:val="en-US" w:eastAsia="zh-CN"/>
              </w:rPr>
            </w:pPr>
          </w:p>
        </w:tc>
      </w:tr>
      <w:tr w14:paraId="4121D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322921DB">
            <w:pPr>
              <w:pStyle w:val="2"/>
              <w:keepNext/>
              <w:spacing w:after="0" w:line="440" w:lineRule="exact"/>
              <w:ind w:left="63" w:right="63"/>
              <w:rPr>
                <w:color w:val="000000"/>
                <w:kern w:val="2"/>
                <w:sz w:val="21"/>
                <w:szCs w:val="21"/>
                <w:lang w:val="en-US" w:eastAsia="zh-CN"/>
              </w:rPr>
            </w:pPr>
          </w:p>
        </w:tc>
        <w:tc>
          <w:tcPr>
            <w:tcW w:w="1984" w:type="dxa"/>
            <w:tcBorders>
              <w:top w:val="nil"/>
            </w:tcBorders>
            <w:noWrap w:val="0"/>
            <w:vAlign w:val="top"/>
          </w:tcPr>
          <w:p w14:paraId="7835451A">
            <w:pPr>
              <w:pStyle w:val="2"/>
              <w:keepNext/>
              <w:spacing w:after="0" w:line="440" w:lineRule="exact"/>
              <w:ind w:left="63" w:right="63"/>
              <w:rPr>
                <w:color w:val="000000"/>
                <w:kern w:val="2"/>
                <w:sz w:val="21"/>
                <w:szCs w:val="21"/>
                <w:lang w:val="en-US" w:eastAsia="zh-CN"/>
              </w:rPr>
            </w:pPr>
          </w:p>
        </w:tc>
        <w:tc>
          <w:tcPr>
            <w:tcW w:w="4678" w:type="dxa"/>
            <w:tcBorders>
              <w:top w:val="nil"/>
            </w:tcBorders>
            <w:noWrap w:val="0"/>
            <w:vAlign w:val="top"/>
          </w:tcPr>
          <w:p w14:paraId="732672E0">
            <w:pPr>
              <w:pStyle w:val="2"/>
              <w:keepNext/>
              <w:spacing w:after="0" w:line="440" w:lineRule="exact"/>
              <w:ind w:left="63" w:right="63"/>
              <w:rPr>
                <w:color w:val="000000"/>
                <w:kern w:val="2"/>
                <w:sz w:val="21"/>
                <w:szCs w:val="21"/>
                <w:lang w:val="en-US" w:eastAsia="zh-CN"/>
              </w:rPr>
            </w:pPr>
          </w:p>
        </w:tc>
        <w:tc>
          <w:tcPr>
            <w:tcW w:w="1276" w:type="dxa"/>
            <w:tcBorders>
              <w:top w:val="nil"/>
            </w:tcBorders>
            <w:noWrap w:val="0"/>
            <w:vAlign w:val="top"/>
          </w:tcPr>
          <w:p w14:paraId="1B2D5BA2">
            <w:pPr>
              <w:pStyle w:val="2"/>
              <w:keepNext/>
              <w:spacing w:after="0" w:line="440" w:lineRule="exact"/>
              <w:ind w:left="63" w:right="63"/>
              <w:rPr>
                <w:color w:val="000000"/>
                <w:kern w:val="2"/>
                <w:sz w:val="21"/>
                <w:szCs w:val="21"/>
                <w:lang w:val="en-US" w:eastAsia="zh-CN"/>
              </w:rPr>
            </w:pPr>
          </w:p>
        </w:tc>
      </w:tr>
      <w:tr w14:paraId="49B67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6DD3CA1">
            <w:pPr>
              <w:pStyle w:val="2"/>
              <w:keepNext/>
              <w:spacing w:after="0" w:line="440" w:lineRule="exact"/>
              <w:ind w:left="63" w:right="63"/>
              <w:rPr>
                <w:color w:val="000000"/>
                <w:kern w:val="2"/>
                <w:sz w:val="21"/>
                <w:szCs w:val="21"/>
                <w:lang w:val="en-US" w:eastAsia="zh-CN"/>
              </w:rPr>
            </w:pPr>
          </w:p>
        </w:tc>
        <w:tc>
          <w:tcPr>
            <w:tcW w:w="1984" w:type="dxa"/>
            <w:tcBorders>
              <w:top w:val="nil"/>
            </w:tcBorders>
            <w:noWrap w:val="0"/>
            <w:vAlign w:val="top"/>
          </w:tcPr>
          <w:p w14:paraId="129809FC">
            <w:pPr>
              <w:pStyle w:val="2"/>
              <w:keepNext/>
              <w:spacing w:after="0" w:line="440" w:lineRule="exact"/>
              <w:ind w:left="63" w:right="63"/>
              <w:rPr>
                <w:color w:val="000000"/>
                <w:kern w:val="2"/>
                <w:sz w:val="21"/>
                <w:szCs w:val="21"/>
                <w:lang w:val="en-US" w:eastAsia="zh-CN"/>
              </w:rPr>
            </w:pPr>
          </w:p>
        </w:tc>
        <w:tc>
          <w:tcPr>
            <w:tcW w:w="4678" w:type="dxa"/>
            <w:tcBorders>
              <w:top w:val="nil"/>
            </w:tcBorders>
            <w:noWrap w:val="0"/>
            <w:vAlign w:val="top"/>
          </w:tcPr>
          <w:p w14:paraId="7779B6CA">
            <w:pPr>
              <w:pStyle w:val="2"/>
              <w:keepNext/>
              <w:spacing w:after="0" w:line="440" w:lineRule="exact"/>
              <w:ind w:left="63" w:right="63"/>
              <w:rPr>
                <w:color w:val="000000"/>
                <w:kern w:val="2"/>
                <w:sz w:val="21"/>
                <w:szCs w:val="21"/>
                <w:lang w:val="en-US" w:eastAsia="zh-CN"/>
              </w:rPr>
            </w:pPr>
          </w:p>
        </w:tc>
        <w:tc>
          <w:tcPr>
            <w:tcW w:w="1276" w:type="dxa"/>
            <w:tcBorders>
              <w:top w:val="nil"/>
            </w:tcBorders>
            <w:noWrap w:val="0"/>
            <w:vAlign w:val="top"/>
          </w:tcPr>
          <w:p w14:paraId="0D481AF5">
            <w:pPr>
              <w:pStyle w:val="2"/>
              <w:keepNext/>
              <w:spacing w:after="0" w:line="440" w:lineRule="exact"/>
              <w:ind w:left="63" w:right="63"/>
              <w:rPr>
                <w:color w:val="000000"/>
                <w:kern w:val="2"/>
                <w:sz w:val="21"/>
                <w:szCs w:val="21"/>
                <w:lang w:val="en-US" w:eastAsia="zh-CN"/>
              </w:rPr>
            </w:pPr>
          </w:p>
        </w:tc>
      </w:tr>
      <w:tr w14:paraId="0C0CE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8AA6D45">
            <w:pPr>
              <w:pStyle w:val="2"/>
              <w:keepNext/>
              <w:spacing w:after="0" w:line="440" w:lineRule="exact"/>
              <w:ind w:left="63" w:right="63"/>
              <w:rPr>
                <w:color w:val="000000"/>
                <w:kern w:val="2"/>
                <w:sz w:val="21"/>
                <w:szCs w:val="21"/>
                <w:lang w:val="en-US" w:eastAsia="zh-CN"/>
              </w:rPr>
            </w:pPr>
          </w:p>
        </w:tc>
        <w:tc>
          <w:tcPr>
            <w:tcW w:w="1984" w:type="dxa"/>
            <w:noWrap w:val="0"/>
            <w:vAlign w:val="top"/>
          </w:tcPr>
          <w:p w14:paraId="0EDE4A12">
            <w:pPr>
              <w:pStyle w:val="2"/>
              <w:keepNext/>
              <w:spacing w:after="0" w:line="440" w:lineRule="exact"/>
              <w:ind w:left="63" w:right="63"/>
              <w:rPr>
                <w:color w:val="000000"/>
                <w:kern w:val="2"/>
                <w:sz w:val="21"/>
                <w:szCs w:val="21"/>
                <w:lang w:val="en-US" w:eastAsia="zh-CN"/>
              </w:rPr>
            </w:pPr>
          </w:p>
        </w:tc>
        <w:tc>
          <w:tcPr>
            <w:tcW w:w="4678" w:type="dxa"/>
            <w:noWrap w:val="0"/>
            <w:vAlign w:val="top"/>
          </w:tcPr>
          <w:p w14:paraId="550638F4">
            <w:pPr>
              <w:pStyle w:val="2"/>
              <w:keepNext/>
              <w:spacing w:after="0" w:line="440" w:lineRule="exact"/>
              <w:ind w:left="63" w:right="63"/>
              <w:rPr>
                <w:color w:val="000000"/>
                <w:kern w:val="2"/>
                <w:sz w:val="21"/>
                <w:szCs w:val="21"/>
                <w:lang w:val="en-US" w:eastAsia="zh-CN"/>
              </w:rPr>
            </w:pPr>
          </w:p>
        </w:tc>
        <w:tc>
          <w:tcPr>
            <w:tcW w:w="1276" w:type="dxa"/>
            <w:noWrap w:val="0"/>
            <w:vAlign w:val="top"/>
          </w:tcPr>
          <w:p w14:paraId="682AF013">
            <w:pPr>
              <w:pStyle w:val="2"/>
              <w:keepNext/>
              <w:spacing w:after="0" w:line="440" w:lineRule="exact"/>
              <w:ind w:left="63" w:right="63"/>
              <w:rPr>
                <w:color w:val="000000"/>
                <w:kern w:val="2"/>
                <w:sz w:val="21"/>
                <w:szCs w:val="21"/>
                <w:lang w:val="en-US" w:eastAsia="zh-CN"/>
              </w:rPr>
            </w:pPr>
          </w:p>
        </w:tc>
      </w:tr>
      <w:tr w14:paraId="3E0FD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B70103E">
            <w:pPr>
              <w:pStyle w:val="2"/>
              <w:keepNext/>
              <w:spacing w:after="0" w:line="440" w:lineRule="exact"/>
              <w:ind w:left="63" w:right="63"/>
              <w:rPr>
                <w:color w:val="000000"/>
                <w:kern w:val="2"/>
                <w:sz w:val="21"/>
                <w:szCs w:val="21"/>
                <w:lang w:val="en-US" w:eastAsia="zh-CN"/>
              </w:rPr>
            </w:pPr>
          </w:p>
        </w:tc>
        <w:tc>
          <w:tcPr>
            <w:tcW w:w="1984" w:type="dxa"/>
            <w:noWrap w:val="0"/>
            <w:vAlign w:val="top"/>
          </w:tcPr>
          <w:p w14:paraId="411B6F01">
            <w:pPr>
              <w:pStyle w:val="2"/>
              <w:keepNext/>
              <w:spacing w:after="0" w:line="440" w:lineRule="exact"/>
              <w:ind w:left="63" w:right="63"/>
              <w:rPr>
                <w:color w:val="000000"/>
                <w:kern w:val="2"/>
                <w:sz w:val="21"/>
                <w:szCs w:val="21"/>
                <w:lang w:val="en-US" w:eastAsia="zh-CN"/>
              </w:rPr>
            </w:pPr>
          </w:p>
        </w:tc>
        <w:tc>
          <w:tcPr>
            <w:tcW w:w="4678" w:type="dxa"/>
            <w:noWrap w:val="0"/>
            <w:vAlign w:val="top"/>
          </w:tcPr>
          <w:p w14:paraId="3EE61522">
            <w:pPr>
              <w:pStyle w:val="2"/>
              <w:keepNext/>
              <w:spacing w:after="0" w:line="440" w:lineRule="exact"/>
              <w:ind w:left="63" w:right="63"/>
              <w:rPr>
                <w:color w:val="000000"/>
                <w:kern w:val="2"/>
                <w:sz w:val="21"/>
                <w:szCs w:val="21"/>
                <w:lang w:val="en-US" w:eastAsia="zh-CN"/>
              </w:rPr>
            </w:pPr>
          </w:p>
        </w:tc>
        <w:tc>
          <w:tcPr>
            <w:tcW w:w="1276" w:type="dxa"/>
            <w:noWrap w:val="0"/>
            <w:vAlign w:val="top"/>
          </w:tcPr>
          <w:p w14:paraId="113C8E7F">
            <w:pPr>
              <w:pStyle w:val="2"/>
              <w:keepNext/>
              <w:spacing w:after="0" w:line="440" w:lineRule="exact"/>
              <w:ind w:left="63" w:right="63"/>
              <w:rPr>
                <w:color w:val="000000"/>
                <w:kern w:val="2"/>
                <w:sz w:val="21"/>
                <w:szCs w:val="21"/>
                <w:lang w:val="en-US" w:eastAsia="zh-CN"/>
              </w:rPr>
            </w:pPr>
          </w:p>
        </w:tc>
      </w:tr>
      <w:tr w14:paraId="68737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35CDF0">
            <w:pPr>
              <w:pStyle w:val="2"/>
              <w:keepNext/>
              <w:spacing w:after="0" w:line="440" w:lineRule="exact"/>
              <w:ind w:left="63" w:right="63"/>
              <w:rPr>
                <w:color w:val="000000"/>
                <w:kern w:val="2"/>
                <w:sz w:val="21"/>
                <w:szCs w:val="21"/>
                <w:lang w:val="en-US" w:eastAsia="zh-CN"/>
              </w:rPr>
            </w:pPr>
          </w:p>
        </w:tc>
        <w:tc>
          <w:tcPr>
            <w:tcW w:w="1984" w:type="dxa"/>
            <w:noWrap w:val="0"/>
            <w:vAlign w:val="top"/>
          </w:tcPr>
          <w:p w14:paraId="66320B3F">
            <w:pPr>
              <w:pStyle w:val="2"/>
              <w:keepNext/>
              <w:spacing w:after="0" w:line="440" w:lineRule="exact"/>
              <w:ind w:left="63" w:right="63"/>
              <w:rPr>
                <w:color w:val="000000"/>
                <w:kern w:val="2"/>
                <w:sz w:val="21"/>
                <w:szCs w:val="21"/>
                <w:lang w:val="en-US" w:eastAsia="zh-CN"/>
              </w:rPr>
            </w:pPr>
          </w:p>
        </w:tc>
        <w:tc>
          <w:tcPr>
            <w:tcW w:w="4678" w:type="dxa"/>
            <w:noWrap w:val="0"/>
            <w:vAlign w:val="top"/>
          </w:tcPr>
          <w:p w14:paraId="0A580F69">
            <w:pPr>
              <w:pStyle w:val="2"/>
              <w:keepNext/>
              <w:spacing w:after="0" w:line="440" w:lineRule="exact"/>
              <w:ind w:left="63" w:right="63"/>
              <w:rPr>
                <w:color w:val="000000"/>
                <w:kern w:val="2"/>
                <w:sz w:val="21"/>
                <w:szCs w:val="21"/>
                <w:lang w:val="en-US" w:eastAsia="zh-CN"/>
              </w:rPr>
            </w:pPr>
          </w:p>
        </w:tc>
        <w:tc>
          <w:tcPr>
            <w:tcW w:w="1276" w:type="dxa"/>
            <w:noWrap w:val="0"/>
            <w:vAlign w:val="top"/>
          </w:tcPr>
          <w:p w14:paraId="2F06BEC0">
            <w:pPr>
              <w:pStyle w:val="2"/>
              <w:keepNext/>
              <w:spacing w:after="0" w:line="440" w:lineRule="exact"/>
              <w:ind w:left="63" w:right="63"/>
              <w:rPr>
                <w:color w:val="000000"/>
                <w:kern w:val="2"/>
                <w:sz w:val="21"/>
                <w:szCs w:val="21"/>
                <w:lang w:val="en-US" w:eastAsia="zh-CN"/>
              </w:rPr>
            </w:pPr>
          </w:p>
        </w:tc>
      </w:tr>
      <w:tr w14:paraId="5F678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A8B9211">
            <w:pPr>
              <w:pStyle w:val="2"/>
              <w:keepNext/>
              <w:spacing w:after="0" w:line="440" w:lineRule="exact"/>
              <w:ind w:left="63" w:right="63"/>
              <w:rPr>
                <w:color w:val="000000"/>
                <w:kern w:val="2"/>
                <w:sz w:val="21"/>
                <w:szCs w:val="21"/>
                <w:lang w:val="en-US" w:eastAsia="zh-CN"/>
              </w:rPr>
            </w:pPr>
          </w:p>
        </w:tc>
        <w:tc>
          <w:tcPr>
            <w:tcW w:w="1984" w:type="dxa"/>
            <w:noWrap w:val="0"/>
            <w:vAlign w:val="top"/>
          </w:tcPr>
          <w:p w14:paraId="3F157940">
            <w:pPr>
              <w:pStyle w:val="2"/>
              <w:keepNext/>
              <w:spacing w:after="0" w:line="440" w:lineRule="exact"/>
              <w:ind w:left="63" w:right="63"/>
              <w:rPr>
                <w:color w:val="000000"/>
                <w:kern w:val="2"/>
                <w:sz w:val="21"/>
                <w:szCs w:val="21"/>
                <w:lang w:val="en-US" w:eastAsia="zh-CN"/>
              </w:rPr>
            </w:pPr>
          </w:p>
        </w:tc>
        <w:tc>
          <w:tcPr>
            <w:tcW w:w="4678" w:type="dxa"/>
            <w:noWrap w:val="0"/>
            <w:vAlign w:val="top"/>
          </w:tcPr>
          <w:p w14:paraId="06F83048">
            <w:pPr>
              <w:pStyle w:val="2"/>
              <w:keepNext/>
              <w:spacing w:after="0" w:line="440" w:lineRule="exact"/>
              <w:ind w:left="63" w:right="63"/>
              <w:rPr>
                <w:color w:val="000000"/>
                <w:kern w:val="2"/>
                <w:sz w:val="21"/>
                <w:szCs w:val="21"/>
                <w:lang w:val="en-US" w:eastAsia="zh-CN"/>
              </w:rPr>
            </w:pPr>
          </w:p>
        </w:tc>
        <w:tc>
          <w:tcPr>
            <w:tcW w:w="1276" w:type="dxa"/>
            <w:noWrap w:val="0"/>
            <w:vAlign w:val="top"/>
          </w:tcPr>
          <w:p w14:paraId="5D5791F1">
            <w:pPr>
              <w:pStyle w:val="2"/>
              <w:keepNext/>
              <w:spacing w:after="0" w:line="440" w:lineRule="exact"/>
              <w:ind w:left="63" w:right="63"/>
              <w:rPr>
                <w:color w:val="000000"/>
                <w:kern w:val="2"/>
                <w:sz w:val="21"/>
                <w:szCs w:val="21"/>
                <w:lang w:val="en-US" w:eastAsia="zh-CN"/>
              </w:rPr>
            </w:pPr>
          </w:p>
        </w:tc>
      </w:tr>
      <w:tr w14:paraId="19BE6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88DB365">
            <w:pPr>
              <w:pStyle w:val="2"/>
              <w:keepNext/>
              <w:spacing w:after="0" w:line="440" w:lineRule="exact"/>
              <w:ind w:left="63" w:right="63"/>
              <w:rPr>
                <w:color w:val="000000"/>
                <w:kern w:val="2"/>
                <w:sz w:val="21"/>
                <w:szCs w:val="21"/>
                <w:lang w:val="en-US" w:eastAsia="zh-CN"/>
              </w:rPr>
            </w:pPr>
          </w:p>
        </w:tc>
        <w:tc>
          <w:tcPr>
            <w:tcW w:w="1984" w:type="dxa"/>
            <w:noWrap w:val="0"/>
            <w:vAlign w:val="top"/>
          </w:tcPr>
          <w:p w14:paraId="4415C6A8">
            <w:pPr>
              <w:pStyle w:val="2"/>
              <w:keepNext/>
              <w:spacing w:after="0" w:line="440" w:lineRule="exact"/>
              <w:ind w:left="63" w:right="63"/>
              <w:rPr>
                <w:color w:val="000000"/>
                <w:kern w:val="2"/>
                <w:sz w:val="21"/>
                <w:szCs w:val="21"/>
                <w:lang w:val="en-US" w:eastAsia="zh-CN"/>
              </w:rPr>
            </w:pPr>
          </w:p>
        </w:tc>
        <w:tc>
          <w:tcPr>
            <w:tcW w:w="4678" w:type="dxa"/>
            <w:noWrap w:val="0"/>
            <w:vAlign w:val="top"/>
          </w:tcPr>
          <w:p w14:paraId="5AF9BD79">
            <w:pPr>
              <w:pStyle w:val="2"/>
              <w:keepNext/>
              <w:spacing w:after="0" w:line="440" w:lineRule="exact"/>
              <w:ind w:left="63" w:right="63"/>
              <w:rPr>
                <w:color w:val="000000"/>
                <w:kern w:val="2"/>
                <w:sz w:val="21"/>
                <w:szCs w:val="21"/>
                <w:lang w:val="en-US" w:eastAsia="zh-CN"/>
              </w:rPr>
            </w:pPr>
          </w:p>
        </w:tc>
        <w:tc>
          <w:tcPr>
            <w:tcW w:w="1276" w:type="dxa"/>
            <w:noWrap w:val="0"/>
            <w:vAlign w:val="top"/>
          </w:tcPr>
          <w:p w14:paraId="58BA99FE">
            <w:pPr>
              <w:pStyle w:val="2"/>
              <w:keepNext/>
              <w:spacing w:after="0" w:line="440" w:lineRule="exact"/>
              <w:ind w:left="63" w:right="63"/>
              <w:rPr>
                <w:color w:val="000000"/>
                <w:kern w:val="2"/>
                <w:sz w:val="21"/>
                <w:szCs w:val="21"/>
                <w:lang w:val="en-US" w:eastAsia="zh-CN"/>
              </w:rPr>
            </w:pPr>
          </w:p>
        </w:tc>
      </w:tr>
      <w:tr w14:paraId="7D534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A62728F">
            <w:pPr>
              <w:pStyle w:val="2"/>
              <w:keepNext/>
              <w:spacing w:after="0" w:line="440" w:lineRule="exact"/>
              <w:ind w:left="63" w:right="63"/>
              <w:rPr>
                <w:color w:val="000000"/>
                <w:kern w:val="2"/>
                <w:sz w:val="21"/>
                <w:szCs w:val="21"/>
                <w:lang w:val="en-US" w:eastAsia="zh-CN"/>
              </w:rPr>
            </w:pPr>
          </w:p>
        </w:tc>
        <w:tc>
          <w:tcPr>
            <w:tcW w:w="1984" w:type="dxa"/>
            <w:noWrap w:val="0"/>
            <w:vAlign w:val="top"/>
          </w:tcPr>
          <w:p w14:paraId="34B3E99D">
            <w:pPr>
              <w:pStyle w:val="2"/>
              <w:keepNext/>
              <w:spacing w:after="0" w:line="440" w:lineRule="exact"/>
              <w:ind w:left="63" w:right="63"/>
              <w:rPr>
                <w:color w:val="000000"/>
                <w:kern w:val="2"/>
                <w:sz w:val="21"/>
                <w:szCs w:val="21"/>
                <w:lang w:val="en-US" w:eastAsia="zh-CN"/>
              </w:rPr>
            </w:pPr>
          </w:p>
        </w:tc>
        <w:tc>
          <w:tcPr>
            <w:tcW w:w="4678" w:type="dxa"/>
            <w:noWrap w:val="0"/>
            <w:vAlign w:val="top"/>
          </w:tcPr>
          <w:p w14:paraId="432397AB">
            <w:pPr>
              <w:pStyle w:val="2"/>
              <w:keepNext/>
              <w:spacing w:after="0" w:line="440" w:lineRule="exact"/>
              <w:ind w:left="63" w:right="63"/>
              <w:rPr>
                <w:color w:val="000000"/>
                <w:kern w:val="2"/>
                <w:sz w:val="21"/>
                <w:szCs w:val="21"/>
                <w:lang w:val="en-US" w:eastAsia="zh-CN"/>
              </w:rPr>
            </w:pPr>
          </w:p>
        </w:tc>
        <w:tc>
          <w:tcPr>
            <w:tcW w:w="1276" w:type="dxa"/>
            <w:noWrap w:val="0"/>
            <w:vAlign w:val="top"/>
          </w:tcPr>
          <w:p w14:paraId="79537490">
            <w:pPr>
              <w:pStyle w:val="2"/>
              <w:keepNext/>
              <w:spacing w:after="0" w:line="440" w:lineRule="exact"/>
              <w:ind w:left="63" w:right="63"/>
              <w:rPr>
                <w:color w:val="000000"/>
                <w:kern w:val="2"/>
                <w:sz w:val="21"/>
                <w:szCs w:val="21"/>
                <w:lang w:val="en-US" w:eastAsia="zh-CN"/>
              </w:rPr>
            </w:pPr>
          </w:p>
        </w:tc>
      </w:tr>
      <w:tr w14:paraId="41DD9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F37078C">
            <w:pPr>
              <w:pStyle w:val="2"/>
              <w:keepNext/>
              <w:spacing w:after="0" w:line="440" w:lineRule="exact"/>
              <w:ind w:left="63" w:right="63"/>
              <w:rPr>
                <w:color w:val="000000"/>
                <w:kern w:val="2"/>
                <w:sz w:val="21"/>
                <w:szCs w:val="21"/>
                <w:lang w:val="en-US" w:eastAsia="zh-CN"/>
              </w:rPr>
            </w:pPr>
          </w:p>
        </w:tc>
        <w:tc>
          <w:tcPr>
            <w:tcW w:w="1984" w:type="dxa"/>
            <w:noWrap w:val="0"/>
            <w:vAlign w:val="top"/>
          </w:tcPr>
          <w:p w14:paraId="17A43681">
            <w:pPr>
              <w:pStyle w:val="2"/>
              <w:keepNext/>
              <w:spacing w:after="0" w:line="440" w:lineRule="exact"/>
              <w:ind w:left="63" w:right="63"/>
              <w:rPr>
                <w:color w:val="000000"/>
                <w:kern w:val="2"/>
                <w:sz w:val="21"/>
                <w:szCs w:val="21"/>
                <w:lang w:val="en-US" w:eastAsia="zh-CN"/>
              </w:rPr>
            </w:pPr>
          </w:p>
        </w:tc>
        <w:tc>
          <w:tcPr>
            <w:tcW w:w="4678" w:type="dxa"/>
            <w:noWrap w:val="0"/>
            <w:vAlign w:val="top"/>
          </w:tcPr>
          <w:p w14:paraId="4317C75D">
            <w:pPr>
              <w:pStyle w:val="2"/>
              <w:keepNext/>
              <w:spacing w:after="0" w:line="440" w:lineRule="exact"/>
              <w:ind w:left="63" w:right="63"/>
              <w:rPr>
                <w:color w:val="000000"/>
                <w:kern w:val="2"/>
                <w:sz w:val="21"/>
                <w:szCs w:val="21"/>
                <w:lang w:val="en-US" w:eastAsia="zh-CN"/>
              </w:rPr>
            </w:pPr>
          </w:p>
        </w:tc>
        <w:tc>
          <w:tcPr>
            <w:tcW w:w="1276" w:type="dxa"/>
            <w:noWrap w:val="0"/>
            <w:vAlign w:val="top"/>
          </w:tcPr>
          <w:p w14:paraId="2BE74DB3">
            <w:pPr>
              <w:pStyle w:val="2"/>
              <w:keepNext/>
              <w:spacing w:after="0" w:line="440" w:lineRule="exact"/>
              <w:ind w:left="63" w:right="63"/>
              <w:rPr>
                <w:color w:val="000000"/>
                <w:kern w:val="2"/>
                <w:sz w:val="21"/>
                <w:szCs w:val="21"/>
                <w:lang w:val="en-US" w:eastAsia="zh-CN"/>
              </w:rPr>
            </w:pPr>
          </w:p>
        </w:tc>
      </w:tr>
      <w:tr w14:paraId="4F780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A6B3618">
            <w:pPr>
              <w:pStyle w:val="2"/>
              <w:keepNext/>
              <w:spacing w:after="0" w:line="440" w:lineRule="exact"/>
              <w:ind w:left="63" w:right="63"/>
              <w:rPr>
                <w:color w:val="000000"/>
                <w:kern w:val="2"/>
                <w:sz w:val="21"/>
                <w:szCs w:val="21"/>
                <w:lang w:val="en-US" w:eastAsia="zh-CN"/>
              </w:rPr>
            </w:pPr>
          </w:p>
        </w:tc>
        <w:tc>
          <w:tcPr>
            <w:tcW w:w="1984" w:type="dxa"/>
            <w:noWrap w:val="0"/>
            <w:vAlign w:val="top"/>
          </w:tcPr>
          <w:p w14:paraId="66262E97">
            <w:pPr>
              <w:pStyle w:val="2"/>
              <w:keepNext/>
              <w:spacing w:after="0" w:line="440" w:lineRule="exact"/>
              <w:ind w:left="63" w:right="63"/>
              <w:rPr>
                <w:color w:val="000000"/>
                <w:kern w:val="2"/>
                <w:sz w:val="21"/>
                <w:szCs w:val="21"/>
                <w:lang w:val="en-US" w:eastAsia="zh-CN"/>
              </w:rPr>
            </w:pPr>
          </w:p>
        </w:tc>
        <w:tc>
          <w:tcPr>
            <w:tcW w:w="4678" w:type="dxa"/>
            <w:noWrap w:val="0"/>
            <w:vAlign w:val="top"/>
          </w:tcPr>
          <w:p w14:paraId="6D4053D6">
            <w:pPr>
              <w:pStyle w:val="2"/>
              <w:keepNext/>
              <w:spacing w:after="0" w:line="440" w:lineRule="exact"/>
              <w:ind w:left="63" w:right="63"/>
              <w:rPr>
                <w:color w:val="000000"/>
                <w:kern w:val="2"/>
                <w:sz w:val="21"/>
                <w:szCs w:val="21"/>
                <w:lang w:val="en-US" w:eastAsia="zh-CN"/>
              </w:rPr>
            </w:pPr>
          </w:p>
        </w:tc>
        <w:tc>
          <w:tcPr>
            <w:tcW w:w="1276" w:type="dxa"/>
            <w:noWrap w:val="0"/>
            <w:vAlign w:val="top"/>
          </w:tcPr>
          <w:p w14:paraId="5D2DA8C1">
            <w:pPr>
              <w:pStyle w:val="2"/>
              <w:keepNext/>
              <w:spacing w:after="0" w:line="440" w:lineRule="exact"/>
              <w:ind w:left="63" w:right="63"/>
              <w:rPr>
                <w:color w:val="000000"/>
                <w:kern w:val="2"/>
                <w:sz w:val="21"/>
                <w:szCs w:val="21"/>
                <w:lang w:val="en-US" w:eastAsia="zh-CN"/>
              </w:rPr>
            </w:pPr>
          </w:p>
        </w:tc>
      </w:tr>
      <w:tr w14:paraId="472FC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ABA911C">
            <w:pPr>
              <w:pStyle w:val="2"/>
              <w:keepNext/>
              <w:spacing w:after="0" w:line="440" w:lineRule="exact"/>
              <w:ind w:left="63" w:right="63"/>
              <w:rPr>
                <w:color w:val="000000"/>
                <w:kern w:val="2"/>
                <w:sz w:val="21"/>
                <w:szCs w:val="21"/>
                <w:lang w:val="en-US" w:eastAsia="zh-CN"/>
              </w:rPr>
            </w:pPr>
          </w:p>
        </w:tc>
        <w:tc>
          <w:tcPr>
            <w:tcW w:w="1984" w:type="dxa"/>
            <w:noWrap w:val="0"/>
            <w:vAlign w:val="top"/>
          </w:tcPr>
          <w:p w14:paraId="18CFDA23">
            <w:pPr>
              <w:pStyle w:val="2"/>
              <w:keepNext/>
              <w:spacing w:after="0" w:line="440" w:lineRule="exact"/>
              <w:ind w:left="63" w:right="63"/>
              <w:rPr>
                <w:color w:val="000000"/>
                <w:kern w:val="2"/>
                <w:sz w:val="21"/>
                <w:szCs w:val="21"/>
                <w:lang w:val="en-US" w:eastAsia="zh-CN"/>
              </w:rPr>
            </w:pPr>
          </w:p>
        </w:tc>
        <w:tc>
          <w:tcPr>
            <w:tcW w:w="4678" w:type="dxa"/>
            <w:noWrap w:val="0"/>
            <w:vAlign w:val="top"/>
          </w:tcPr>
          <w:p w14:paraId="3796BD50">
            <w:pPr>
              <w:pStyle w:val="2"/>
              <w:keepNext/>
              <w:spacing w:after="0" w:line="440" w:lineRule="exact"/>
              <w:ind w:left="63" w:right="63"/>
              <w:rPr>
                <w:color w:val="000000"/>
                <w:kern w:val="2"/>
                <w:sz w:val="21"/>
                <w:szCs w:val="21"/>
                <w:lang w:val="en-US" w:eastAsia="zh-CN"/>
              </w:rPr>
            </w:pPr>
          </w:p>
        </w:tc>
        <w:tc>
          <w:tcPr>
            <w:tcW w:w="1276" w:type="dxa"/>
            <w:noWrap w:val="0"/>
            <w:vAlign w:val="top"/>
          </w:tcPr>
          <w:p w14:paraId="13E00D52">
            <w:pPr>
              <w:pStyle w:val="2"/>
              <w:keepNext/>
              <w:spacing w:after="0" w:line="440" w:lineRule="exact"/>
              <w:ind w:left="63" w:right="63"/>
              <w:rPr>
                <w:color w:val="000000"/>
                <w:kern w:val="2"/>
                <w:sz w:val="21"/>
                <w:szCs w:val="21"/>
                <w:lang w:val="en-US" w:eastAsia="zh-CN"/>
              </w:rPr>
            </w:pPr>
          </w:p>
        </w:tc>
      </w:tr>
      <w:tr w14:paraId="5DD35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A1E31AE">
            <w:pPr>
              <w:pStyle w:val="2"/>
              <w:keepNext/>
              <w:spacing w:after="0" w:line="440" w:lineRule="exact"/>
              <w:ind w:left="63" w:right="63"/>
              <w:rPr>
                <w:color w:val="000000"/>
                <w:kern w:val="2"/>
                <w:sz w:val="21"/>
                <w:szCs w:val="21"/>
                <w:lang w:val="en-US" w:eastAsia="zh-CN"/>
              </w:rPr>
            </w:pPr>
          </w:p>
        </w:tc>
        <w:tc>
          <w:tcPr>
            <w:tcW w:w="1984" w:type="dxa"/>
            <w:noWrap w:val="0"/>
            <w:vAlign w:val="top"/>
          </w:tcPr>
          <w:p w14:paraId="3974C399">
            <w:pPr>
              <w:pStyle w:val="2"/>
              <w:keepNext/>
              <w:spacing w:after="0" w:line="440" w:lineRule="exact"/>
              <w:ind w:left="63" w:right="63"/>
              <w:rPr>
                <w:color w:val="000000"/>
                <w:kern w:val="2"/>
                <w:sz w:val="21"/>
                <w:szCs w:val="21"/>
                <w:lang w:val="en-US" w:eastAsia="zh-CN"/>
              </w:rPr>
            </w:pPr>
          </w:p>
        </w:tc>
        <w:tc>
          <w:tcPr>
            <w:tcW w:w="4678" w:type="dxa"/>
            <w:noWrap w:val="0"/>
            <w:vAlign w:val="top"/>
          </w:tcPr>
          <w:p w14:paraId="6F0098DB">
            <w:pPr>
              <w:pStyle w:val="2"/>
              <w:keepNext/>
              <w:spacing w:after="0" w:line="440" w:lineRule="exact"/>
              <w:ind w:left="63" w:right="63"/>
              <w:rPr>
                <w:color w:val="000000"/>
                <w:kern w:val="2"/>
                <w:sz w:val="21"/>
                <w:szCs w:val="21"/>
                <w:lang w:val="en-US" w:eastAsia="zh-CN"/>
              </w:rPr>
            </w:pPr>
          </w:p>
        </w:tc>
        <w:tc>
          <w:tcPr>
            <w:tcW w:w="1276" w:type="dxa"/>
            <w:noWrap w:val="0"/>
            <w:vAlign w:val="top"/>
          </w:tcPr>
          <w:p w14:paraId="39A1FA6C">
            <w:pPr>
              <w:pStyle w:val="2"/>
              <w:keepNext/>
              <w:spacing w:after="0" w:line="440" w:lineRule="exact"/>
              <w:ind w:left="63" w:right="63"/>
              <w:rPr>
                <w:color w:val="000000"/>
                <w:kern w:val="2"/>
                <w:sz w:val="21"/>
                <w:szCs w:val="21"/>
                <w:lang w:val="en-US" w:eastAsia="zh-CN"/>
              </w:rPr>
            </w:pPr>
          </w:p>
        </w:tc>
      </w:tr>
      <w:tr w14:paraId="057E4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585CB01">
            <w:pPr>
              <w:pStyle w:val="2"/>
              <w:keepNext/>
              <w:spacing w:after="0" w:line="440" w:lineRule="exact"/>
              <w:ind w:left="63" w:right="63"/>
              <w:rPr>
                <w:color w:val="000000"/>
                <w:kern w:val="2"/>
                <w:sz w:val="21"/>
                <w:szCs w:val="21"/>
                <w:lang w:val="en-US" w:eastAsia="zh-CN"/>
              </w:rPr>
            </w:pPr>
          </w:p>
        </w:tc>
        <w:tc>
          <w:tcPr>
            <w:tcW w:w="1984" w:type="dxa"/>
            <w:noWrap w:val="0"/>
            <w:vAlign w:val="top"/>
          </w:tcPr>
          <w:p w14:paraId="79FC3BA8">
            <w:pPr>
              <w:pStyle w:val="2"/>
              <w:keepNext/>
              <w:spacing w:after="0" w:line="440" w:lineRule="exact"/>
              <w:ind w:left="63" w:right="63"/>
              <w:rPr>
                <w:color w:val="000000"/>
                <w:kern w:val="2"/>
                <w:sz w:val="21"/>
                <w:szCs w:val="21"/>
                <w:lang w:val="en-US" w:eastAsia="zh-CN"/>
              </w:rPr>
            </w:pPr>
          </w:p>
        </w:tc>
        <w:tc>
          <w:tcPr>
            <w:tcW w:w="4678" w:type="dxa"/>
            <w:noWrap w:val="0"/>
            <w:vAlign w:val="top"/>
          </w:tcPr>
          <w:p w14:paraId="659C40A6">
            <w:pPr>
              <w:pStyle w:val="2"/>
              <w:keepNext/>
              <w:spacing w:after="0" w:line="440" w:lineRule="exact"/>
              <w:ind w:left="63" w:right="63"/>
              <w:rPr>
                <w:color w:val="000000"/>
                <w:kern w:val="2"/>
                <w:sz w:val="21"/>
                <w:szCs w:val="21"/>
                <w:lang w:val="en-US" w:eastAsia="zh-CN"/>
              </w:rPr>
            </w:pPr>
          </w:p>
        </w:tc>
        <w:tc>
          <w:tcPr>
            <w:tcW w:w="1276" w:type="dxa"/>
            <w:noWrap w:val="0"/>
            <w:vAlign w:val="top"/>
          </w:tcPr>
          <w:p w14:paraId="4DF61D9E">
            <w:pPr>
              <w:pStyle w:val="2"/>
              <w:keepNext/>
              <w:spacing w:after="0" w:line="440" w:lineRule="exact"/>
              <w:ind w:left="63" w:right="63"/>
              <w:rPr>
                <w:color w:val="000000"/>
                <w:kern w:val="2"/>
                <w:sz w:val="21"/>
                <w:szCs w:val="21"/>
                <w:lang w:val="en-US" w:eastAsia="zh-CN"/>
              </w:rPr>
            </w:pPr>
          </w:p>
        </w:tc>
      </w:tr>
      <w:tr w14:paraId="40583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6C87023">
            <w:pPr>
              <w:pStyle w:val="2"/>
              <w:keepNext/>
              <w:spacing w:after="0" w:line="440" w:lineRule="exact"/>
              <w:ind w:left="63" w:right="63"/>
              <w:rPr>
                <w:color w:val="000000"/>
                <w:kern w:val="2"/>
                <w:sz w:val="21"/>
                <w:szCs w:val="21"/>
                <w:lang w:val="en-US" w:eastAsia="zh-CN"/>
              </w:rPr>
            </w:pPr>
          </w:p>
        </w:tc>
        <w:tc>
          <w:tcPr>
            <w:tcW w:w="1984" w:type="dxa"/>
            <w:noWrap w:val="0"/>
            <w:vAlign w:val="top"/>
          </w:tcPr>
          <w:p w14:paraId="3ABA495F">
            <w:pPr>
              <w:pStyle w:val="2"/>
              <w:keepNext/>
              <w:spacing w:after="0" w:line="440" w:lineRule="exact"/>
              <w:ind w:left="63" w:right="63"/>
              <w:rPr>
                <w:color w:val="000000"/>
                <w:kern w:val="2"/>
                <w:sz w:val="21"/>
                <w:szCs w:val="21"/>
                <w:lang w:val="en-US" w:eastAsia="zh-CN"/>
              </w:rPr>
            </w:pPr>
          </w:p>
        </w:tc>
        <w:tc>
          <w:tcPr>
            <w:tcW w:w="4678" w:type="dxa"/>
            <w:noWrap w:val="0"/>
            <w:vAlign w:val="top"/>
          </w:tcPr>
          <w:p w14:paraId="046AEA08">
            <w:pPr>
              <w:pStyle w:val="2"/>
              <w:keepNext/>
              <w:spacing w:after="0" w:line="440" w:lineRule="exact"/>
              <w:ind w:left="63" w:right="63"/>
              <w:rPr>
                <w:color w:val="000000"/>
                <w:kern w:val="2"/>
                <w:sz w:val="21"/>
                <w:szCs w:val="21"/>
                <w:lang w:val="en-US" w:eastAsia="zh-CN"/>
              </w:rPr>
            </w:pPr>
          </w:p>
        </w:tc>
        <w:tc>
          <w:tcPr>
            <w:tcW w:w="1276" w:type="dxa"/>
            <w:noWrap w:val="0"/>
            <w:vAlign w:val="top"/>
          </w:tcPr>
          <w:p w14:paraId="379BD035">
            <w:pPr>
              <w:pStyle w:val="2"/>
              <w:keepNext/>
              <w:spacing w:after="0" w:line="440" w:lineRule="exact"/>
              <w:ind w:left="63" w:right="63"/>
              <w:rPr>
                <w:color w:val="000000"/>
                <w:kern w:val="2"/>
                <w:sz w:val="21"/>
                <w:szCs w:val="21"/>
                <w:lang w:val="en-US" w:eastAsia="zh-CN"/>
              </w:rPr>
            </w:pPr>
          </w:p>
        </w:tc>
      </w:tr>
      <w:tr w14:paraId="4C091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ADA3990">
            <w:pPr>
              <w:pStyle w:val="2"/>
              <w:keepNext/>
              <w:spacing w:after="0" w:line="440" w:lineRule="exact"/>
              <w:ind w:left="63" w:right="63"/>
              <w:rPr>
                <w:color w:val="000000"/>
                <w:kern w:val="2"/>
                <w:sz w:val="21"/>
                <w:szCs w:val="21"/>
                <w:lang w:val="en-US" w:eastAsia="zh-CN"/>
              </w:rPr>
            </w:pPr>
          </w:p>
        </w:tc>
        <w:tc>
          <w:tcPr>
            <w:tcW w:w="1984" w:type="dxa"/>
            <w:noWrap w:val="0"/>
            <w:vAlign w:val="top"/>
          </w:tcPr>
          <w:p w14:paraId="7A1527D0">
            <w:pPr>
              <w:pStyle w:val="2"/>
              <w:keepNext/>
              <w:spacing w:after="0" w:line="440" w:lineRule="exact"/>
              <w:ind w:left="63" w:right="63"/>
              <w:rPr>
                <w:color w:val="000000"/>
                <w:kern w:val="2"/>
                <w:sz w:val="21"/>
                <w:szCs w:val="21"/>
                <w:lang w:val="en-US" w:eastAsia="zh-CN"/>
              </w:rPr>
            </w:pPr>
          </w:p>
        </w:tc>
        <w:tc>
          <w:tcPr>
            <w:tcW w:w="4678" w:type="dxa"/>
            <w:noWrap w:val="0"/>
            <w:vAlign w:val="top"/>
          </w:tcPr>
          <w:p w14:paraId="117B343B">
            <w:pPr>
              <w:pStyle w:val="2"/>
              <w:keepNext/>
              <w:spacing w:after="0" w:line="440" w:lineRule="exact"/>
              <w:ind w:left="63" w:right="63"/>
              <w:rPr>
                <w:color w:val="000000"/>
                <w:kern w:val="2"/>
                <w:sz w:val="21"/>
                <w:szCs w:val="21"/>
                <w:lang w:val="en-US" w:eastAsia="zh-CN"/>
              </w:rPr>
            </w:pPr>
          </w:p>
        </w:tc>
        <w:tc>
          <w:tcPr>
            <w:tcW w:w="1276" w:type="dxa"/>
            <w:noWrap w:val="0"/>
            <w:vAlign w:val="top"/>
          </w:tcPr>
          <w:p w14:paraId="4BF2498E">
            <w:pPr>
              <w:pStyle w:val="2"/>
              <w:keepNext/>
              <w:spacing w:after="0" w:line="440" w:lineRule="exact"/>
              <w:ind w:left="63" w:right="63"/>
              <w:rPr>
                <w:color w:val="000000"/>
                <w:kern w:val="2"/>
                <w:sz w:val="21"/>
                <w:szCs w:val="21"/>
                <w:lang w:val="en-US" w:eastAsia="zh-CN"/>
              </w:rPr>
            </w:pPr>
          </w:p>
        </w:tc>
      </w:tr>
      <w:tr w14:paraId="5EE36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465B60E">
            <w:pPr>
              <w:pStyle w:val="2"/>
              <w:keepNext/>
              <w:spacing w:after="0" w:line="440" w:lineRule="exact"/>
              <w:ind w:left="63" w:right="63"/>
              <w:rPr>
                <w:color w:val="000000"/>
                <w:kern w:val="2"/>
                <w:sz w:val="21"/>
                <w:szCs w:val="21"/>
                <w:lang w:val="en-US" w:eastAsia="zh-CN"/>
              </w:rPr>
            </w:pPr>
          </w:p>
        </w:tc>
        <w:tc>
          <w:tcPr>
            <w:tcW w:w="1984" w:type="dxa"/>
            <w:noWrap w:val="0"/>
            <w:vAlign w:val="top"/>
          </w:tcPr>
          <w:p w14:paraId="43DF14E2">
            <w:pPr>
              <w:pStyle w:val="2"/>
              <w:keepNext/>
              <w:spacing w:after="0" w:line="440" w:lineRule="exact"/>
              <w:ind w:left="63" w:right="63"/>
              <w:rPr>
                <w:color w:val="000000"/>
                <w:kern w:val="2"/>
                <w:sz w:val="21"/>
                <w:szCs w:val="21"/>
                <w:lang w:val="en-US" w:eastAsia="zh-CN"/>
              </w:rPr>
            </w:pPr>
          </w:p>
        </w:tc>
        <w:tc>
          <w:tcPr>
            <w:tcW w:w="4678" w:type="dxa"/>
            <w:noWrap w:val="0"/>
            <w:vAlign w:val="top"/>
          </w:tcPr>
          <w:p w14:paraId="47697740">
            <w:pPr>
              <w:pStyle w:val="2"/>
              <w:keepNext/>
              <w:spacing w:after="0" w:line="440" w:lineRule="exact"/>
              <w:ind w:left="63" w:right="63"/>
              <w:rPr>
                <w:color w:val="000000"/>
                <w:kern w:val="2"/>
                <w:sz w:val="21"/>
                <w:szCs w:val="21"/>
                <w:lang w:val="en-US" w:eastAsia="zh-CN"/>
              </w:rPr>
            </w:pPr>
          </w:p>
        </w:tc>
        <w:tc>
          <w:tcPr>
            <w:tcW w:w="1276" w:type="dxa"/>
            <w:noWrap w:val="0"/>
            <w:vAlign w:val="top"/>
          </w:tcPr>
          <w:p w14:paraId="1A7A7BCB">
            <w:pPr>
              <w:pStyle w:val="2"/>
              <w:keepNext/>
              <w:spacing w:after="0" w:line="440" w:lineRule="exact"/>
              <w:ind w:left="63" w:right="63"/>
              <w:rPr>
                <w:color w:val="000000"/>
                <w:kern w:val="2"/>
                <w:sz w:val="21"/>
                <w:szCs w:val="21"/>
                <w:lang w:val="en-US" w:eastAsia="zh-CN"/>
              </w:rPr>
            </w:pPr>
          </w:p>
        </w:tc>
      </w:tr>
      <w:tr w14:paraId="185F3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7830EA9">
            <w:pPr>
              <w:pStyle w:val="2"/>
              <w:keepNext/>
              <w:spacing w:after="0" w:line="440" w:lineRule="exact"/>
              <w:ind w:left="63" w:right="63"/>
              <w:rPr>
                <w:color w:val="000000"/>
                <w:kern w:val="2"/>
                <w:sz w:val="21"/>
                <w:szCs w:val="21"/>
                <w:lang w:val="en-US" w:eastAsia="zh-CN"/>
              </w:rPr>
            </w:pPr>
          </w:p>
        </w:tc>
        <w:tc>
          <w:tcPr>
            <w:tcW w:w="1984" w:type="dxa"/>
            <w:noWrap w:val="0"/>
            <w:vAlign w:val="top"/>
          </w:tcPr>
          <w:p w14:paraId="2A8C0720">
            <w:pPr>
              <w:pStyle w:val="2"/>
              <w:keepNext/>
              <w:spacing w:after="0" w:line="440" w:lineRule="exact"/>
              <w:ind w:left="63" w:right="63"/>
              <w:rPr>
                <w:color w:val="000000"/>
                <w:kern w:val="2"/>
                <w:sz w:val="21"/>
                <w:szCs w:val="21"/>
                <w:lang w:val="en-US" w:eastAsia="zh-CN"/>
              </w:rPr>
            </w:pPr>
          </w:p>
        </w:tc>
        <w:tc>
          <w:tcPr>
            <w:tcW w:w="4678" w:type="dxa"/>
            <w:noWrap w:val="0"/>
            <w:vAlign w:val="top"/>
          </w:tcPr>
          <w:p w14:paraId="2AB9E859">
            <w:pPr>
              <w:pStyle w:val="2"/>
              <w:keepNext/>
              <w:spacing w:after="0" w:line="440" w:lineRule="exact"/>
              <w:ind w:left="63" w:right="63"/>
              <w:rPr>
                <w:color w:val="000000"/>
                <w:kern w:val="2"/>
                <w:sz w:val="21"/>
                <w:szCs w:val="21"/>
                <w:lang w:val="en-US" w:eastAsia="zh-CN"/>
              </w:rPr>
            </w:pPr>
          </w:p>
        </w:tc>
        <w:tc>
          <w:tcPr>
            <w:tcW w:w="1276" w:type="dxa"/>
            <w:noWrap w:val="0"/>
            <w:vAlign w:val="top"/>
          </w:tcPr>
          <w:p w14:paraId="204DA79D">
            <w:pPr>
              <w:pStyle w:val="2"/>
              <w:keepNext/>
              <w:spacing w:after="0" w:line="440" w:lineRule="exact"/>
              <w:ind w:left="63" w:right="63"/>
              <w:rPr>
                <w:color w:val="000000"/>
                <w:kern w:val="2"/>
                <w:sz w:val="21"/>
                <w:szCs w:val="21"/>
                <w:lang w:val="en-US" w:eastAsia="zh-CN"/>
              </w:rPr>
            </w:pPr>
          </w:p>
        </w:tc>
      </w:tr>
      <w:tr w14:paraId="24292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564F67A">
            <w:pPr>
              <w:pStyle w:val="2"/>
              <w:keepNext/>
              <w:spacing w:after="0" w:line="440" w:lineRule="exact"/>
              <w:ind w:left="63" w:right="63"/>
              <w:rPr>
                <w:color w:val="000000"/>
                <w:kern w:val="2"/>
                <w:sz w:val="21"/>
                <w:szCs w:val="21"/>
                <w:lang w:val="en-US" w:eastAsia="zh-CN"/>
              </w:rPr>
            </w:pPr>
          </w:p>
        </w:tc>
        <w:tc>
          <w:tcPr>
            <w:tcW w:w="1984" w:type="dxa"/>
            <w:noWrap w:val="0"/>
            <w:vAlign w:val="top"/>
          </w:tcPr>
          <w:p w14:paraId="5A9C45F3">
            <w:pPr>
              <w:pStyle w:val="2"/>
              <w:keepNext/>
              <w:spacing w:after="0" w:line="440" w:lineRule="exact"/>
              <w:ind w:left="63" w:right="63"/>
              <w:rPr>
                <w:color w:val="000000"/>
                <w:kern w:val="2"/>
                <w:sz w:val="21"/>
                <w:szCs w:val="21"/>
                <w:lang w:val="en-US" w:eastAsia="zh-CN"/>
              </w:rPr>
            </w:pPr>
          </w:p>
        </w:tc>
        <w:tc>
          <w:tcPr>
            <w:tcW w:w="4678" w:type="dxa"/>
            <w:noWrap w:val="0"/>
            <w:vAlign w:val="top"/>
          </w:tcPr>
          <w:p w14:paraId="5C427902">
            <w:pPr>
              <w:pStyle w:val="2"/>
              <w:keepNext/>
              <w:spacing w:after="0" w:line="440" w:lineRule="exact"/>
              <w:ind w:left="63" w:right="63"/>
              <w:rPr>
                <w:color w:val="000000"/>
                <w:kern w:val="2"/>
                <w:sz w:val="21"/>
                <w:szCs w:val="21"/>
                <w:lang w:val="en-US" w:eastAsia="zh-CN"/>
              </w:rPr>
            </w:pPr>
          </w:p>
        </w:tc>
        <w:tc>
          <w:tcPr>
            <w:tcW w:w="1276" w:type="dxa"/>
            <w:noWrap w:val="0"/>
            <w:vAlign w:val="top"/>
          </w:tcPr>
          <w:p w14:paraId="676A976B">
            <w:pPr>
              <w:pStyle w:val="2"/>
              <w:keepNext/>
              <w:spacing w:after="0" w:line="440" w:lineRule="exact"/>
              <w:ind w:left="63" w:right="63"/>
              <w:rPr>
                <w:color w:val="000000"/>
                <w:kern w:val="2"/>
                <w:sz w:val="21"/>
                <w:szCs w:val="21"/>
                <w:lang w:val="en-US" w:eastAsia="zh-CN"/>
              </w:rPr>
            </w:pPr>
          </w:p>
        </w:tc>
      </w:tr>
      <w:tr w14:paraId="32D65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1A0AC4">
            <w:pPr>
              <w:pStyle w:val="2"/>
              <w:keepNext/>
              <w:spacing w:after="0" w:line="440" w:lineRule="exact"/>
              <w:ind w:left="63" w:right="63"/>
              <w:rPr>
                <w:color w:val="000000"/>
                <w:kern w:val="2"/>
                <w:sz w:val="21"/>
                <w:szCs w:val="21"/>
                <w:lang w:val="en-US" w:eastAsia="zh-CN"/>
              </w:rPr>
            </w:pPr>
          </w:p>
        </w:tc>
        <w:tc>
          <w:tcPr>
            <w:tcW w:w="1984" w:type="dxa"/>
            <w:noWrap w:val="0"/>
            <w:vAlign w:val="top"/>
          </w:tcPr>
          <w:p w14:paraId="33028162">
            <w:pPr>
              <w:pStyle w:val="2"/>
              <w:keepNext/>
              <w:spacing w:after="0" w:line="440" w:lineRule="exact"/>
              <w:ind w:left="63" w:right="63"/>
              <w:rPr>
                <w:color w:val="000000"/>
                <w:kern w:val="2"/>
                <w:sz w:val="21"/>
                <w:szCs w:val="21"/>
                <w:lang w:val="en-US" w:eastAsia="zh-CN"/>
              </w:rPr>
            </w:pPr>
          </w:p>
        </w:tc>
        <w:tc>
          <w:tcPr>
            <w:tcW w:w="4678" w:type="dxa"/>
            <w:noWrap w:val="0"/>
            <w:vAlign w:val="top"/>
          </w:tcPr>
          <w:p w14:paraId="751E8704">
            <w:pPr>
              <w:pStyle w:val="2"/>
              <w:keepNext/>
              <w:spacing w:after="0" w:line="440" w:lineRule="exact"/>
              <w:ind w:left="63" w:right="63"/>
              <w:rPr>
                <w:color w:val="000000"/>
                <w:kern w:val="2"/>
                <w:sz w:val="21"/>
                <w:szCs w:val="21"/>
                <w:lang w:val="en-US" w:eastAsia="zh-CN"/>
              </w:rPr>
            </w:pPr>
          </w:p>
        </w:tc>
        <w:tc>
          <w:tcPr>
            <w:tcW w:w="1276" w:type="dxa"/>
            <w:noWrap w:val="0"/>
            <w:vAlign w:val="top"/>
          </w:tcPr>
          <w:p w14:paraId="0ADE38CF">
            <w:pPr>
              <w:pStyle w:val="2"/>
              <w:keepNext/>
              <w:spacing w:after="0" w:line="440" w:lineRule="exact"/>
              <w:ind w:left="63" w:right="63"/>
              <w:rPr>
                <w:color w:val="000000"/>
                <w:kern w:val="2"/>
                <w:sz w:val="21"/>
                <w:szCs w:val="21"/>
                <w:lang w:val="en-US" w:eastAsia="zh-CN"/>
              </w:rPr>
            </w:pPr>
          </w:p>
        </w:tc>
      </w:tr>
      <w:tr w14:paraId="073D8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DF28612">
            <w:pPr>
              <w:pStyle w:val="2"/>
              <w:keepNext/>
              <w:spacing w:after="0" w:line="440" w:lineRule="exact"/>
              <w:ind w:left="63" w:right="63"/>
              <w:rPr>
                <w:color w:val="000000"/>
                <w:kern w:val="2"/>
                <w:sz w:val="21"/>
                <w:szCs w:val="21"/>
                <w:lang w:val="en-US" w:eastAsia="zh-CN"/>
              </w:rPr>
            </w:pPr>
          </w:p>
        </w:tc>
        <w:tc>
          <w:tcPr>
            <w:tcW w:w="1984" w:type="dxa"/>
            <w:noWrap w:val="0"/>
            <w:vAlign w:val="top"/>
          </w:tcPr>
          <w:p w14:paraId="1F76439C">
            <w:pPr>
              <w:pStyle w:val="2"/>
              <w:keepNext/>
              <w:spacing w:after="0" w:line="440" w:lineRule="exact"/>
              <w:ind w:left="63" w:right="63"/>
              <w:rPr>
                <w:color w:val="000000"/>
                <w:kern w:val="2"/>
                <w:sz w:val="21"/>
                <w:szCs w:val="21"/>
                <w:lang w:val="en-US" w:eastAsia="zh-CN"/>
              </w:rPr>
            </w:pPr>
          </w:p>
        </w:tc>
        <w:tc>
          <w:tcPr>
            <w:tcW w:w="4678" w:type="dxa"/>
            <w:noWrap w:val="0"/>
            <w:vAlign w:val="top"/>
          </w:tcPr>
          <w:p w14:paraId="74C41AFC">
            <w:pPr>
              <w:pStyle w:val="2"/>
              <w:keepNext/>
              <w:spacing w:after="0" w:line="440" w:lineRule="exact"/>
              <w:ind w:left="63" w:right="63"/>
              <w:rPr>
                <w:color w:val="000000"/>
                <w:kern w:val="2"/>
                <w:sz w:val="21"/>
                <w:szCs w:val="21"/>
                <w:lang w:val="en-US" w:eastAsia="zh-CN"/>
              </w:rPr>
            </w:pPr>
          </w:p>
        </w:tc>
        <w:tc>
          <w:tcPr>
            <w:tcW w:w="1276" w:type="dxa"/>
            <w:noWrap w:val="0"/>
            <w:vAlign w:val="top"/>
          </w:tcPr>
          <w:p w14:paraId="54052CD4">
            <w:pPr>
              <w:pStyle w:val="2"/>
              <w:keepNext/>
              <w:spacing w:after="0" w:line="440" w:lineRule="exact"/>
              <w:ind w:left="63" w:right="63"/>
              <w:rPr>
                <w:color w:val="000000"/>
                <w:kern w:val="2"/>
                <w:sz w:val="21"/>
                <w:szCs w:val="21"/>
                <w:lang w:val="en-US" w:eastAsia="zh-CN"/>
              </w:rPr>
            </w:pPr>
          </w:p>
        </w:tc>
      </w:tr>
      <w:tr w14:paraId="28E63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49957C">
            <w:pPr>
              <w:pStyle w:val="2"/>
              <w:keepNext/>
              <w:spacing w:after="0" w:line="440" w:lineRule="exact"/>
              <w:ind w:left="63" w:right="63"/>
              <w:rPr>
                <w:color w:val="000000"/>
                <w:kern w:val="2"/>
                <w:sz w:val="21"/>
                <w:szCs w:val="21"/>
                <w:lang w:val="en-US" w:eastAsia="zh-CN"/>
              </w:rPr>
            </w:pPr>
          </w:p>
        </w:tc>
        <w:tc>
          <w:tcPr>
            <w:tcW w:w="1984" w:type="dxa"/>
            <w:noWrap w:val="0"/>
            <w:vAlign w:val="top"/>
          </w:tcPr>
          <w:p w14:paraId="66C9468E">
            <w:pPr>
              <w:pStyle w:val="2"/>
              <w:keepNext/>
              <w:spacing w:after="0" w:line="440" w:lineRule="exact"/>
              <w:ind w:left="63" w:right="63"/>
              <w:rPr>
                <w:color w:val="000000"/>
                <w:kern w:val="2"/>
                <w:sz w:val="21"/>
                <w:szCs w:val="21"/>
                <w:lang w:val="en-US" w:eastAsia="zh-CN"/>
              </w:rPr>
            </w:pPr>
          </w:p>
        </w:tc>
        <w:tc>
          <w:tcPr>
            <w:tcW w:w="4678" w:type="dxa"/>
            <w:noWrap w:val="0"/>
            <w:vAlign w:val="top"/>
          </w:tcPr>
          <w:p w14:paraId="7B8955AD">
            <w:pPr>
              <w:pStyle w:val="2"/>
              <w:keepNext/>
              <w:spacing w:after="0" w:line="440" w:lineRule="exact"/>
              <w:ind w:left="63" w:right="63"/>
              <w:rPr>
                <w:color w:val="000000"/>
                <w:kern w:val="2"/>
                <w:sz w:val="21"/>
                <w:szCs w:val="21"/>
                <w:lang w:val="en-US" w:eastAsia="zh-CN"/>
              </w:rPr>
            </w:pPr>
          </w:p>
        </w:tc>
        <w:tc>
          <w:tcPr>
            <w:tcW w:w="1276" w:type="dxa"/>
            <w:noWrap w:val="0"/>
            <w:vAlign w:val="top"/>
          </w:tcPr>
          <w:p w14:paraId="13AB2FAF">
            <w:pPr>
              <w:pStyle w:val="2"/>
              <w:keepNext/>
              <w:spacing w:after="0" w:line="440" w:lineRule="exact"/>
              <w:ind w:left="63" w:right="63"/>
              <w:rPr>
                <w:color w:val="000000"/>
                <w:kern w:val="2"/>
                <w:sz w:val="21"/>
                <w:szCs w:val="21"/>
                <w:lang w:val="en-US" w:eastAsia="zh-CN"/>
              </w:rPr>
            </w:pPr>
          </w:p>
        </w:tc>
      </w:tr>
      <w:tr w14:paraId="3A91E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300CCE">
            <w:pPr>
              <w:pStyle w:val="2"/>
              <w:keepNext/>
              <w:spacing w:after="0" w:line="440" w:lineRule="exact"/>
              <w:ind w:left="63" w:right="63"/>
              <w:rPr>
                <w:color w:val="000000"/>
                <w:kern w:val="2"/>
                <w:sz w:val="21"/>
                <w:szCs w:val="21"/>
                <w:lang w:val="en-US" w:eastAsia="zh-CN"/>
              </w:rPr>
            </w:pPr>
          </w:p>
        </w:tc>
        <w:tc>
          <w:tcPr>
            <w:tcW w:w="1984" w:type="dxa"/>
            <w:noWrap w:val="0"/>
            <w:vAlign w:val="top"/>
          </w:tcPr>
          <w:p w14:paraId="69E2EB1A">
            <w:pPr>
              <w:pStyle w:val="2"/>
              <w:keepNext/>
              <w:spacing w:after="0" w:line="440" w:lineRule="exact"/>
              <w:ind w:left="63" w:right="63"/>
              <w:rPr>
                <w:color w:val="000000"/>
                <w:kern w:val="2"/>
                <w:sz w:val="21"/>
                <w:szCs w:val="21"/>
                <w:lang w:val="en-US" w:eastAsia="zh-CN"/>
              </w:rPr>
            </w:pPr>
          </w:p>
        </w:tc>
        <w:tc>
          <w:tcPr>
            <w:tcW w:w="4678" w:type="dxa"/>
            <w:noWrap w:val="0"/>
            <w:vAlign w:val="top"/>
          </w:tcPr>
          <w:p w14:paraId="7B47D9E2">
            <w:pPr>
              <w:pStyle w:val="2"/>
              <w:keepNext/>
              <w:spacing w:after="0" w:line="440" w:lineRule="exact"/>
              <w:ind w:left="63" w:right="63"/>
              <w:rPr>
                <w:color w:val="000000"/>
                <w:kern w:val="2"/>
                <w:sz w:val="21"/>
                <w:szCs w:val="21"/>
                <w:lang w:val="en-US" w:eastAsia="zh-CN"/>
              </w:rPr>
            </w:pPr>
          </w:p>
        </w:tc>
        <w:tc>
          <w:tcPr>
            <w:tcW w:w="1276" w:type="dxa"/>
            <w:noWrap w:val="0"/>
            <w:vAlign w:val="top"/>
          </w:tcPr>
          <w:p w14:paraId="3F519A4E">
            <w:pPr>
              <w:pStyle w:val="2"/>
              <w:keepNext/>
              <w:spacing w:after="0" w:line="440" w:lineRule="exact"/>
              <w:ind w:left="63" w:right="63"/>
              <w:rPr>
                <w:color w:val="000000"/>
                <w:kern w:val="2"/>
                <w:sz w:val="21"/>
                <w:szCs w:val="21"/>
                <w:lang w:val="en-US" w:eastAsia="zh-CN"/>
              </w:rPr>
            </w:pPr>
          </w:p>
        </w:tc>
      </w:tr>
      <w:tr w14:paraId="57E16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32CE8C3">
            <w:pPr>
              <w:pStyle w:val="2"/>
              <w:keepNext/>
              <w:spacing w:after="0" w:line="440" w:lineRule="exact"/>
              <w:ind w:left="63" w:right="63"/>
              <w:rPr>
                <w:color w:val="000000"/>
                <w:kern w:val="2"/>
                <w:sz w:val="21"/>
                <w:szCs w:val="21"/>
                <w:lang w:val="en-US" w:eastAsia="zh-CN"/>
              </w:rPr>
            </w:pPr>
          </w:p>
        </w:tc>
        <w:tc>
          <w:tcPr>
            <w:tcW w:w="1984" w:type="dxa"/>
            <w:noWrap w:val="0"/>
            <w:vAlign w:val="top"/>
          </w:tcPr>
          <w:p w14:paraId="2221304B">
            <w:pPr>
              <w:pStyle w:val="2"/>
              <w:keepNext/>
              <w:spacing w:after="0" w:line="440" w:lineRule="exact"/>
              <w:ind w:left="63" w:right="63"/>
              <w:rPr>
                <w:color w:val="000000"/>
                <w:kern w:val="2"/>
                <w:sz w:val="21"/>
                <w:szCs w:val="21"/>
                <w:lang w:val="en-US" w:eastAsia="zh-CN"/>
              </w:rPr>
            </w:pPr>
          </w:p>
        </w:tc>
        <w:tc>
          <w:tcPr>
            <w:tcW w:w="4678" w:type="dxa"/>
            <w:noWrap w:val="0"/>
            <w:vAlign w:val="top"/>
          </w:tcPr>
          <w:p w14:paraId="63388038">
            <w:pPr>
              <w:pStyle w:val="2"/>
              <w:keepNext/>
              <w:spacing w:after="0" w:line="440" w:lineRule="exact"/>
              <w:ind w:left="63" w:right="63"/>
              <w:rPr>
                <w:color w:val="000000"/>
                <w:kern w:val="2"/>
                <w:sz w:val="21"/>
                <w:szCs w:val="21"/>
                <w:lang w:val="en-US" w:eastAsia="zh-CN"/>
              </w:rPr>
            </w:pPr>
          </w:p>
        </w:tc>
        <w:tc>
          <w:tcPr>
            <w:tcW w:w="1276" w:type="dxa"/>
            <w:noWrap w:val="0"/>
            <w:vAlign w:val="top"/>
          </w:tcPr>
          <w:p w14:paraId="376F3899">
            <w:pPr>
              <w:pStyle w:val="2"/>
              <w:keepNext/>
              <w:spacing w:after="0" w:line="440" w:lineRule="exact"/>
              <w:ind w:left="63" w:right="63"/>
              <w:rPr>
                <w:color w:val="000000"/>
                <w:kern w:val="2"/>
                <w:sz w:val="21"/>
                <w:szCs w:val="21"/>
                <w:lang w:val="en-US" w:eastAsia="zh-CN"/>
              </w:rPr>
            </w:pPr>
          </w:p>
        </w:tc>
      </w:tr>
      <w:tr w14:paraId="539AA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72B393C">
            <w:pPr>
              <w:pStyle w:val="2"/>
              <w:keepNext/>
              <w:spacing w:after="0" w:line="440" w:lineRule="exact"/>
              <w:ind w:left="63" w:right="63"/>
              <w:rPr>
                <w:color w:val="000000"/>
                <w:kern w:val="2"/>
                <w:sz w:val="21"/>
                <w:szCs w:val="21"/>
                <w:lang w:val="en-US" w:eastAsia="zh-CN"/>
              </w:rPr>
            </w:pPr>
          </w:p>
        </w:tc>
        <w:tc>
          <w:tcPr>
            <w:tcW w:w="1984" w:type="dxa"/>
            <w:noWrap w:val="0"/>
            <w:vAlign w:val="top"/>
          </w:tcPr>
          <w:p w14:paraId="3BC709B5">
            <w:pPr>
              <w:pStyle w:val="2"/>
              <w:keepNext/>
              <w:spacing w:after="0" w:line="440" w:lineRule="exact"/>
              <w:ind w:left="63" w:right="63"/>
              <w:rPr>
                <w:color w:val="000000"/>
                <w:kern w:val="2"/>
                <w:sz w:val="21"/>
                <w:szCs w:val="21"/>
                <w:lang w:val="en-US" w:eastAsia="zh-CN"/>
              </w:rPr>
            </w:pPr>
          </w:p>
        </w:tc>
        <w:tc>
          <w:tcPr>
            <w:tcW w:w="4678" w:type="dxa"/>
            <w:noWrap w:val="0"/>
            <w:vAlign w:val="top"/>
          </w:tcPr>
          <w:p w14:paraId="197DB035">
            <w:pPr>
              <w:pStyle w:val="2"/>
              <w:keepNext/>
              <w:spacing w:after="0" w:line="440" w:lineRule="exact"/>
              <w:ind w:left="63" w:right="63"/>
              <w:rPr>
                <w:color w:val="000000"/>
                <w:kern w:val="2"/>
                <w:sz w:val="21"/>
                <w:szCs w:val="21"/>
                <w:lang w:val="en-US" w:eastAsia="zh-CN"/>
              </w:rPr>
            </w:pPr>
          </w:p>
        </w:tc>
        <w:tc>
          <w:tcPr>
            <w:tcW w:w="1276" w:type="dxa"/>
            <w:noWrap w:val="0"/>
            <w:vAlign w:val="top"/>
          </w:tcPr>
          <w:p w14:paraId="73731AD0">
            <w:pPr>
              <w:pStyle w:val="2"/>
              <w:keepNext/>
              <w:spacing w:after="0" w:line="440" w:lineRule="exact"/>
              <w:ind w:left="63" w:right="63"/>
              <w:rPr>
                <w:color w:val="000000"/>
                <w:kern w:val="2"/>
                <w:sz w:val="21"/>
                <w:szCs w:val="21"/>
                <w:lang w:val="en-US" w:eastAsia="zh-CN"/>
              </w:rPr>
            </w:pPr>
          </w:p>
        </w:tc>
      </w:tr>
      <w:tr w14:paraId="013E6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66E261">
            <w:pPr>
              <w:pStyle w:val="2"/>
              <w:keepNext/>
              <w:spacing w:after="0" w:line="440" w:lineRule="exact"/>
              <w:ind w:left="63" w:right="63"/>
              <w:rPr>
                <w:color w:val="000000"/>
                <w:kern w:val="2"/>
                <w:sz w:val="21"/>
                <w:szCs w:val="21"/>
                <w:lang w:val="en-US" w:eastAsia="zh-CN"/>
              </w:rPr>
            </w:pPr>
          </w:p>
        </w:tc>
        <w:tc>
          <w:tcPr>
            <w:tcW w:w="1984" w:type="dxa"/>
            <w:noWrap w:val="0"/>
            <w:vAlign w:val="top"/>
          </w:tcPr>
          <w:p w14:paraId="41A4B407">
            <w:pPr>
              <w:pStyle w:val="2"/>
              <w:keepNext/>
              <w:spacing w:after="0" w:line="440" w:lineRule="exact"/>
              <w:ind w:left="63" w:right="63"/>
              <w:rPr>
                <w:color w:val="000000"/>
                <w:kern w:val="2"/>
                <w:sz w:val="21"/>
                <w:szCs w:val="21"/>
                <w:lang w:val="en-US" w:eastAsia="zh-CN"/>
              </w:rPr>
            </w:pPr>
          </w:p>
        </w:tc>
        <w:tc>
          <w:tcPr>
            <w:tcW w:w="4678" w:type="dxa"/>
            <w:noWrap w:val="0"/>
            <w:vAlign w:val="top"/>
          </w:tcPr>
          <w:p w14:paraId="434E7B72">
            <w:pPr>
              <w:pStyle w:val="2"/>
              <w:keepNext/>
              <w:spacing w:after="0" w:line="440" w:lineRule="exact"/>
              <w:ind w:left="63" w:right="63"/>
              <w:rPr>
                <w:color w:val="000000"/>
                <w:kern w:val="2"/>
                <w:sz w:val="21"/>
                <w:szCs w:val="21"/>
                <w:lang w:val="en-US" w:eastAsia="zh-CN"/>
              </w:rPr>
            </w:pPr>
          </w:p>
        </w:tc>
        <w:tc>
          <w:tcPr>
            <w:tcW w:w="1276" w:type="dxa"/>
            <w:noWrap w:val="0"/>
            <w:vAlign w:val="top"/>
          </w:tcPr>
          <w:p w14:paraId="35A6B2D4">
            <w:pPr>
              <w:pStyle w:val="2"/>
              <w:keepNext/>
              <w:spacing w:after="0" w:line="440" w:lineRule="exact"/>
              <w:ind w:left="63" w:right="63"/>
              <w:rPr>
                <w:color w:val="000000"/>
                <w:kern w:val="2"/>
                <w:sz w:val="21"/>
                <w:szCs w:val="21"/>
                <w:lang w:val="en-US" w:eastAsia="zh-CN"/>
              </w:rPr>
            </w:pPr>
          </w:p>
        </w:tc>
      </w:tr>
      <w:tr w14:paraId="06813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6F6B452D">
            <w:pPr>
              <w:pStyle w:val="2"/>
              <w:keepNext/>
              <w:spacing w:after="0" w:line="440" w:lineRule="exact"/>
              <w:ind w:left="63" w:right="63"/>
              <w:rPr>
                <w:color w:val="000000"/>
                <w:kern w:val="2"/>
                <w:sz w:val="21"/>
                <w:szCs w:val="21"/>
                <w:lang w:val="en-US" w:eastAsia="zh-CN"/>
              </w:rPr>
            </w:pPr>
            <w:r>
              <w:rPr>
                <w:rFonts w:eastAsia="仿宋_GB2312"/>
                <w:color w:val="000000"/>
                <w:kern w:val="2"/>
                <w:sz w:val="28"/>
                <w:szCs w:val="30"/>
                <w:lang w:val="en-US" w:eastAsia="zh-CN"/>
              </w:rPr>
              <w:t>小计：</w:t>
            </w:r>
          </w:p>
        </w:tc>
      </w:tr>
    </w:tbl>
    <w:p w14:paraId="5EDE4773">
      <w:pPr>
        <w:rPr>
          <w:rFonts w:ascii="Times New Roman" w:hAnsi="Times New Roman"/>
        </w:rPr>
      </w:pPr>
    </w:p>
    <w:p w14:paraId="30DCE304">
      <w:pPr>
        <w:rPr>
          <w:rFonts w:ascii="Times New Roman" w:hAnsi="Times New Roman"/>
        </w:rPr>
      </w:pPr>
    </w:p>
    <w:p w14:paraId="6DD7AA2E">
      <w:pPr>
        <w:pStyle w:val="2"/>
        <w:rPr>
          <w:rFonts w:ascii="宋体" w:hAnsi="宋体"/>
          <w:sz w:val="24"/>
          <w:highlight w:val="none"/>
        </w:rPr>
      </w:pPr>
    </w:p>
    <w:p w14:paraId="3161B1F8">
      <w:pPr>
        <w:pStyle w:val="2"/>
        <w:rPr>
          <w:rFonts w:ascii="宋体" w:hAnsi="宋体"/>
          <w:sz w:val="24"/>
          <w:highlight w:val="none"/>
        </w:rPr>
      </w:pPr>
    </w:p>
    <w:p w14:paraId="1CFCEF0E">
      <w:pPr>
        <w:pStyle w:val="2"/>
        <w:rPr>
          <w:rFonts w:ascii="宋体" w:hAnsi="宋体"/>
          <w:sz w:val="28"/>
          <w:szCs w:val="28"/>
          <w:highlight w:val="none"/>
        </w:rPr>
      </w:pPr>
    </w:p>
    <w:bookmarkEnd w:id="474"/>
    <w:p w14:paraId="6601CA09">
      <w:pPr>
        <w:pStyle w:val="4"/>
        <w:spacing w:line="360" w:lineRule="auto"/>
        <w:jc w:val="center"/>
        <w:rPr>
          <w:rFonts w:hint="eastAsia" w:ascii="宋体" w:hAnsi="宋体"/>
          <w:kern w:val="0"/>
          <w:highlight w:val="none"/>
          <w:lang w:val="en-US" w:eastAsia="zh-CN"/>
        </w:rPr>
      </w:pPr>
      <w:bookmarkStart w:id="1010" w:name="招标文件05章工程量清单"/>
      <w:bookmarkEnd w:id="1010"/>
      <w:bookmarkStart w:id="1011" w:name="_Toc287620797"/>
      <w:bookmarkStart w:id="1012" w:name="_Toc430530513"/>
      <w:bookmarkStart w:id="1013" w:name="_Toc287607855"/>
      <w:bookmarkStart w:id="1014" w:name="_Toc32139"/>
      <w:bookmarkStart w:id="1015" w:name="_Toc27983313"/>
      <w:bookmarkStart w:id="1016" w:name="_Toc534185822"/>
      <w:bookmarkStart w:id="1017" w:name="_Toc509218843"/>
      <w:r>
        <w:rPr>
          <w:rFonts w:hint="eastAsia" w:ascii="宋体" w:hAnsi="宋体"/>
          <w:kern w:val="0"/>
          <w:highlight w:val="none"/>
          <w:lang w:val="en-US" w:eastAsia="zh-CN"/>
        </w:rPr>
        <w:t>第五章  工程量清单</w:t>
      </w:r>
      <w:bookmarkEnd w:id="1011"/>
      <w:bookmarkEnd w:id="1012"/>
      <w:bookmarkEnd w:id="1013"/>
      <w:bookmarkEnd w:id="1014"/>
      <w:bookmarkEnd w:id="1015"/>
      <w:bookmarkEnd w:id="1016"/>
      <w:bookmarkEnd w:id="1017"/>
      <w:bookmarkStart w:id="1018" w:name="招标文件05章工程量清单01"/>
      <w:bookmarkEnd w:id="1018"/>
      <w:bookmarkStart w:id="1019" w:name="_Toc287620798"/>
      <w:bookmarkStart w:id="1020" w:name="_Toc430530514"/>
      <w:bookmarkStart w:id="1021" w:name="_Toc287607856"/>
      <w:bookmarkStart w:id="1022" w:name="_Toc277082638"/>
      <w:bookmarkStart w:id="1023" w:name="_Toc224103477"/>
    </w:p>
    <w:bookmarkEnd w:id="1019"/>
    <w:bookmarkEnd w:id="1020"/>
    <w:bookmarkEnd w:id="1021"/>
    <w:bookmarkEnd w:id="1022"/>
    <w:bookmarkEnd w:id="1023"/>
    <w:p w14:paraId="7958F2CB">
      <w:pPr>
        <w:keepNext w:val="0"/>
        <w:keepLines w:val="0"/>
        <w:pageBreakBefore w:val="0"/>
        <w:widowControl w:val="0"/>
        <w:kinsoku/>
        <w:wordWrap/>
        <w:overflowPunct/>
        <w:topLinePunct w:val="0"/>
        <w:autoSpaceDE/>
        <w:autoSpaceDN/>
        <w:bidi w:val="0"/>
        <w:adjustRightInd/>
        <w:snapToGrid w:val="0"/>
        <w:spacing w:line="840" w:lineRule="exact"/>
        <w:jc w:val="center"/>
        <w:textAlignment w:val="auto"/>
        <w:rPr>
          <w:rFonts w:hint="eastAsia" w:ascii="宋体" w:hAnsi="宋体"/>
          <w:sz w:val="24"/>
          <w:highlight w:val="none"/>
        </w:rPr>
      </w:pPr>
    </w:p>
    <w:p w14:paraId="1C24C223">
      <w:pPr>
        <w:ind w:right="561"/>
        <w:rPr>
          <w:rFonts w:ascii="宋体" w:hAnsi="宋体"/>
          <w:szCs w:val="21"/>
          <w:highlight w:val="none"/>
        </w:rPr>
      </w:pPr>
      <w:r>
        <w:rPr>
          <w:rFonts w:ascii="宋体" w:hAnsi="宋体"/>
          <w:sz w:val="24"/>
          <w:highlight w:val="none"/>
        </w:rPr>
        <w:br w:type="page"/>
      </w:r>
    </w:p>
    <w:p w14:paraId="746E990B">
      <w:pPr>
        <w:pStyle w:val="4"/>
        <w:spacing w:before="0" w:after="0" w:line="360" w:lineRule="auto"/>
        <w:jc w:val="center"/>
        <w:rPr>
          <w:rFonts w:ascii="宋体" w:hAnsi="宋体"/>
          <w:sz w:val="52"/>
          <w:szCs w:val="52"/>
          <w:highlight w:val="none"/>
        </w:rPr>
      </w:pPr>
      <w:bookmarkStart w:id="1024" w:name="_Toc27983314"/>
      <w:bookmarkStart w:id="1025" w:name="_Toc10419"/>
      <w:bookmarkStart w:id="1026" w:name="_Toc509218844"/>
      <w:bookmarkStart w:id="1027" w:name="_Toc534185823"/>
      <w:r>
        <w:rPr>
          <w:rFonts w:ascii="宋体" w:hAnsi="宋体"/>
          <w:sz w:val="52"/>
          <w:szCs w:val="52"/>
          <w:highlight w:val="none"/>
        </w:rPr>
        <w:t>第 二 卷</w:t>
      </w:r>
      <w:bookmarkEnd w:id="1024"/>
      <w:bookmarkEnd w:id="1025"/>
      <w:bookmarkEnd w:id="1026"/>
      <w:bookmarkEnd w:id="1027"/>
    </w:p>
    <w:p w14:paraId="7F3484D9">
      <w:pPr>
        <w:spacing w:line="360" w:lineRule="auto"/>
        <w:rPr>
          <w:rFonts w:ascii="宋体" w:hAnsi="宋体"/>
          <w:szCs w:val="20"/>
          <w:highlight w:val="none"/>
        </w:rPr>
      </w:pPr>
      <w:r>
        <w:rPr>
          <w:rFonts w:ascii="宋体" w:hAnsi="宋体"/>
          <w:szCs w:val="20"/>
          <w:highlight w:val="none"/>
        </w:rPr>
        <w:br w:type="page"/>
      </w:r>
    </w:p>
    <w:p w14:paraId="2D80A374">
      <w:pPr>
        <w:pStyle w:val="4"/>
        <w:spacing w:line="360" w:lineRule="auto"/>
        <w:jc w:val="center"/>
        <w:rPr>
          <w:rFonts w:hint="eastAsia" w:ascii="宋体" w:hAnsi="宋体"/>
          <w:kern w:val="0"/>
          <w:highlight w:val="none"/>
        </w:rPr>
      </w:pPr>
      <w:bookmarkStart w:id="1028" w:name="招标文件06章图纸"/>
      <w:bookmarkEnd w:id="1028"/>
      <w:bookmarkStart w:id="1029" w:name="_Toc24306"/>
      <w:bookmarkStart w:id="1030" w:name="_Toc27983315"/>
      <w:bookmarkStart w:id="1031" w:name="_Toc430530519"/>
      <w:bookmarkStart w:id="1032" w:name="_Toc534185825"/>
      <w:bookmarkStart w:id="1033" w:name="_Toc287620803"/>
      <w:bookmarkStart w:id="1034" w:name="_Toc287607861"/>
      <w:bookmarkStart w:id="1035" w:name="_Toc509218846"/>
      <w:r>
        <w:rPr>
          <w:rFonts w:hint="eastAsia" w:ascii="宋体" w:hAnsi="宋体"/>
          <w:kern w:val="0"/>
          <w:highlight w:val="none"/>
        </w:rPr>
        <w:t>第六章  图纸</w:t>
      </w:r>
      <w:bookmarkEnd w:id="1029"/>
      <w:bookmarkEnd w:id="1030"/>
      <w:bookmarkEnd w:id="1031"/>
      <w:bookmarkEnd w:id="1032"/>
      <w:bookmarkEnd w:id="1033"/>
      <w:bookmarkEnd w:id="1034"/>
      <w:bookmarkEnd w:id="1035"/>
    </w:p>
    <w:p w14:paraId="575BA4F7">
      <w:pPr>
        <w:spacing w:line="360" w:lineRule="auto"/>
        <w:rPr>
          <w:rFonts w:ascii="宋体" w:hAnsi="宋体"/>
          <w:highlight w:val="none"/>
        </w:rPr>
      </w:pPr>
      <w:r>
        <w:rPr>
          <w:rFonts w:ascii="宋体" w:hAnsi="宋体"/>
          <w:szCs w:val="20"/>
          <w:highlight w:val="none"/>
        </w:rPr>
        <w:br w:type="page"/>
      </w:r>
    </w:p>
    <w:p w14:paraId="35D50BC8">
      <w:pPr>
        <w:pStyle w:val="4"/>
        <w:spacing w:before="0" w:after="0" w:line="360" w:lineRule="auto"/>
        <w:jc w:val="center"/>
        <w:rPr>
          <w:rFonts w:hint="eastAsia" w:ascii="宋体" w:hAnsi="宋体"/>
          <w:sz w:val="52"/>
          <w:szCs w:val="52"/>
          <w:highlight w:val="none"/>
        </w:rPr>
      </w:pPr>
      <w:bookmarkStart w:id="1036" w:name="_Toc27983316"/>
      <w:bookmarkStart w:id="1037" w:name="_Toc1857"/>
      <w:r>
        <w:rPr>
          <w:rFonts w:hint="eastAsia" w:ascii="宋体" w:hAnsi="宋体"/>
          <w:sz w:val="52"/>
          <w:szCs w:val="52"/>
          <w:highlight w:val="none"/>
        </w:rPr>
        <w:t>第 三 卷</w:t>
      </w:r>
      <w:bookmarkEnd w:id="1036"/>
      <w:bookmarkEnd w:id="1037"/>
      <w:bookmarkStart w:id="1038" w:name="_Toc509218847"/>
      <w:bookmarkStart w:id="1039" w:name="_Toc536619968"/>
      <w:bookmarkStart w:id="1040" w:name="_Toc536620100"/>
      <w:bookmarkStart w:id="1041" w:name="_Toc536621880"/>
      <w:bookmarkStart w:id="1042" w:name="_Toc536796850"/>
      <w:bookmarkStart w:id="1043" w:name="_Toc13210772"/>
      <w:bookmarkStart w:id="1044" w:name="_Toc536797390"/>
      <w:bookmarkStart w:id="1045" w:name="_Toc536796986"/>
      <w:bookmarkStart w:id="1046" w:name="_Toc13211206"/>
      <w:bookmarkStart w:id="1047" w:name="_Toc536628344"/>
      <w:bookmarkStart w:id="1048" w:name="_Toc13211764"/>
      <w:bookmarkStart w:id="1049" w:name="_Toc534185826"/>
      <w:bookmarkStart w:id="1050" w:name="_Toc536797121"/>
      <w:bookmarkStart w:id="1051" w:name="_Toc536797255"/>
    </w:p>
    <w:bookmarkEnd w:id="1038"/>
    <w:p w14:paraId="799637C8">
      <w:pPr>
        <w:rPr>
          <w:highlight w:val="none"/>
        </w:rPr>
      </w:pPr>
      <w:r>
        <w:rPr>
          <w:highlight w:val="none"/>
        </w:rPr>
        <w:br w:type="page"/>
      </w:r>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41CEBC0A">
      <w:pPr>
        <w:pStyle w:val="4"/>
        <w:spacing w:line="360" w:lineRule="auto"/>
        <w:jc w:val="center"/>
        <w:rPr>
          <w:rFonts w:hint="eastAsia" w:ascii="宋体" w:hAnsi="宋体"/>
          <w:kern w:val="0"/>
          <w:highlight w:val="none"/>
        </w:rPr>
      </w:pPr>
      <w:bookmarkStart w:id="1052" w:name="招标文件07章技术标准和要求"/>
      <w:bookmarkEnd w:id="1052"/>
      <w:bookmarkStart w:id="1053" w:name="_Toc27983317"/>
      <w:bookmarkStart w:id="1054" w:name="_Toc5792"/>
      <w:r>
        <w:rPr>
          <w:rFonts w:hint="eastAsia" w:ascii="宋体" w:hAnsi="宋体"/>
          <w:kern w:val="0"/>
          <w:highlight w:val="none"/>
        </w:rPr>
        <w:t>第七章  技术标准和要求</w:t>
      </w:r>
      <w:bookmarkEnd w:id="1053"/>
      <w:bookmarkEnd w:id="1054"/>
      <w:bookmarkStart w:id="1055" w:name="招标文件07章技术标准和要求01"/>
      <w:bookmarkEnd w:id="1055"/>
      <w:bookmarkStart w:id="1056" w:name="_Toc430530524"/>
      <w:bookmarkStart w:id="1057" w:name="_Toc287620808"/>
    </w:p>
    <w:bookmarkEnd w:id="1056"/>
    <w:bookmarkEnd w:id="1057"/>
    <w:p w14:paraId="59DD44E3">
      <w:pPr>
        <w:tabs>
          <w:tab w:val="left" w:pos="1320"/>
        </w:tabs>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1、工程概况</w:t>
      </w:r>
    </w:p>
    <w:p w14:paraId="6EF7F6AA">
      <w:pPr>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见提供的施工图设计文件及设计说明书、设计变更通知单。</w:t>
      </w:r>
    </w:p>
    <w:p w14:paraId="66A3F4C5">
      <w:pPr>
        <w:tabs>
          <w:tab w:val="left" w:pos="0"/>
        </w:tabs>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2、工程技术要求</w:t>
      </w:r>
    </w:p>
    <w:p w14:paraId="44566021">
      <w:pPr>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本工程技术要求见施工图设计文件及设计说明书、设计变更通知单、现行规范（标准）的规定及合同条款相关要求。</w:t>
      </w:r>
    </w:p>
    <w:p w14:paraId="60A77B28">
      <w:pPr>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3、依据施工图和技术文件的要求，本工程项目的材料、设备、施工必须达到现行规范及标准规定的要求。</w:t>
      </w:r>
    </w:p>
    <w:p w14:paraId="2B5675AB">
      <w:pPr>
        <w:adjustRightInd w:val="0"/>
        <w:snapToGrid w:val="0"/>
        <w:spacing w:line="300" w:lineRule="auto"/>
        <w:ind w:firstLine="420" w:firstLineChars="200"/>
        <w:rPr>
          <w:rFonts w:ascii="宋体"/>
          <w:color w:val="000000"/>
          <w:szCs w:val="21"/>
          <w:highlight w:val="none"/>
        </w:rPr>
      </w:pPr>
      <w:r>
        <w:rPr>
          <w:rFonts w:hint="eastAsia" w:ascii="宋体" w:hAnsi="宋体"/>
          <w:color w:val="000000"/>
          <w:szCs w:val="21"/>
          <w:highlight w:val="none"/>
          <w:lang w:val="en-US" w:eastAsia="zh-CN"/>
        </w:rPr>
        <w:t>4、</w:t>
      </w:r>
      <w:r>
        <w:rPr>
          <w:rFonts w:hint="eastAsia" w:ascii="宋体" w:hAnsi="宋体"/>
          <w:color w:val="000000"/>
          <w:szCs w:val="21"/>
          <w:highlight w:val="none"/>
        </w:rPr>
        <w:t>按国家及重庆市相关设计、施工验收规范及标准执行。</w:t>
      </w:r>
    </w:p>
    <w:p w14:paraId="67666713">
      <w:pPr>
        <w:spacing w:line="360" w:lineRule="auto"/>
        <w:rPr>
          <w:rFonts w:ascii="宋体" w:hAnsi="宋体"/>
          <w:highlight w:val="none"/>
        </w:rPr>
      </w:pPr>
      <w:r>
        <w:rPr>
          <w:rFonts w:ascii="宋体" w:hAnsi="宋体"/>
          <w:highlight w:val="none"/>
        </w:rPr>
        <w:br w:type="page"/>
      </w:r>
    </w:p>
    <w:p w14:paraId="01CD1EA9">
      <w:pPr>
        <w:pStyle w:val="4"/>
        <w:spacing w:before="0" w:after="0" w:line="360" w:lineRule="auto"/>
        <w:jc w:val="center"/>
        <w:rPr>
          <w:rFonts w:hint="eastAsia" w:ascii="宋体" w:hAnsi="宋体"/>
          <w:sz w:val="52"/>
          <w:szCs w:val="52"/>
          <w:highlight w:val="none"/>
        </w:rPr>
      </w:pPr>
      <w:bookmarkStart w:id="1058" w:name="_Toc534185827"/>
      <w:bookmarkStart w:id="1059" w:name="_Toc21324"/>
      <w:bookmarkStart w:id="1060" w:name="_Toc27983318"/>
      <w:bookmarkStart w:id="1061" w:name="_Toc509218849"/>
      <w:r>
        <w:rPr>
          <w:rFonts w:ascii="宋体" w:hAnsi="宋体"/>
          <w:sz w:val="52"/>
          <w:szCs w:val="52"/>
          <w:highlight w:val="none"/>
        </w:rPr>
        <w:t>第 四 卷</w:t>
      </w:r>
      <w:bookmarkEnd w:id="1058"/>
      <w:bookmarkEnd w:id="1059"/>
      <w:bookmarkEnd w:id="1060"/>
      <w:bookmarkEnd w:id="1061"/>
      <w:bookmarkStart w:id="1062" w:name="_Toc536796853"/>
      <w:bookmarkStart w:id="1063" w:name="_Toc536628347"/>
      <w:bookmarkStart w:id="1064" w:name="_Toc534185828"/>
      <w:bookmarkStart w:id="1065" w:name="_Toc536620102"/>
      <w:bookmarkStart w:id="1066" w:name="_Toc536619970"/>
      <w:bookmarkStart w:id="1067" w:name="_Toc13211767"/>
      <w:bookmarkStart w:id="1068" w:name="_Toc536797393"/>
      <w:bookmarkStart w:id="1069" w:name="_Toc536797124"/>
      <w:bookmarkStart w:id="1070" w:name="_Toc13211209"/>
      <w:bookmarkStart w:id="1071" w:name="_Toc509218850"/>
      <w:bookmarkStart w:id="1072" w:name="_Toc536621883"/>
      <w:bookmarkStart w:id="1073" w:name="_Toc536796989"/>
      <w:bookmarkStart w:id="1074" w:name="_Toc13210775"/>
      <w:bookmarkStart w:id="1075" w:name="_Toc536797258"/>
    </w:p>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14:paraId="24175137">
      <w:pPr>
        <w:rPr>
          <w:rFonts w:hint="eastAsia"/>
          <w:highlight w:val="none"/>
        </w:rPr>
      </w:pPr>
      <w:r>
        <w:rPr>
          <w:highlight w:val="none"/>
        </w:rPr>
        <w:br w:type="page"/>
      </w:r>
      <w:bookmarkStart w:id="1076" w:name="招标文件08章投标文件格式"/>
      <w:bookmarkEnd w:id="1076"/>
      <w:bookmarkStart w:id="1077" w:name="_Toc287607865"/>
      <w:bookmarkStart w:id="1078" w:name="_Toc287620812"/>
    </w:p>
    <w:p w14:paraId="280B0738">
      <w:pPr>
        <w:pStyle w:val="4"/>
        <w:spacing w:line="360" w:lineRule="auto"/>
        <w:jc w:val="center"/>
        <w:rPr>
          <w:rFonts w:hint="eastAsia" w:ascii="宋体" w:hAnsi="宋体"/>
          <w:kern w:val="0"/>
          <w:highlight w:val="none"/>
        </w:rPr>
      </w:pPr>
      <w:bookmarkStart w:id="1079" w:name="_Toc430530528"/>
      <w:bookmarkStart w:id="1080" w:name="_Toc509218852"/>
      <w:bookmarkStart w:id="1081" w:name="_Toc534185829"/>
      <w:bookmarkStart w:id="1082" w:name="_Toc27983319"/>
      <w:bookmarkStart w:id="1083" w:name="_Toc4574"/>
      <w:r>
        <w:rPr>
          <w:rFonts w:hint="eastAsia" w:ascii="宋体" w:hAnsi="宋体"/>
          <w:kern w:val="0"/>
          <w:highlight w:val="none"/>
        </w:rPr>
        <w:t>第八章  投标文件格式</w:t>
      </w:r>
      <w:bookmarkEnd w:id="1077"/>
      <w:bookmarkEnd w:id="1078"/>
      <w:bookmarkEnd w:id="1079"/>
      <w:bookmarkEnd w:id="1080"/>
      <w:bookmarkEnd w:id="1081"/>
      <w:bookmarkEnd w:id="1082"/>
      <w:bookmarkEnd w:id="1083"/>
    </w:p>
    <w:p w14:paraId="6B781EAA">
      <w:pPr>
        <w:spacing w:line="360" w:lineRule="auto"/>
        <w:rPr>
          <w:rFonts w:ascii="宋体" w:hAnsi="宋体"/>
          <w:sz w:val="32"/>
          <w:szCs w:val="32"/>
          <w:highlight w:val="none"/>
        </w:rPr>
      </w:pPr>
    </w:p>
    <w:p w14:paraId="2E2BC134">
      <w:pPr>
        <w:spacing w:line="360" w:lineRule="auto"/>
        <w:jc w:val="center"/>
        <w:rPr>
          <w:rFonts w:ascii="宋体" w:hAnsi="宋体"/>
          <w:sz w:val="36"/>
          <w:szCs w:val="36"/>
          <w:highlight w:val="none"/>
        </w:rPr>
      </w:pPr>
      <w:r>
        <w:rPr>
          <w:rFonts w:ascii="宋体" w:hAnsi="宋体"/>
          <w:highlight w:val="none"/>
        </w:rPr>
        <mc:AlternateContent>
          <mc:Choice Requires="wps">
            <w:drawing>
              <wp:anchor distT="0" distB="0" distL="114300" distR="114300" simplePos="0" relativeHeight="251661312"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29E72E84"/>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61312;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14:paraId="29E72E84"/>
                  </w:txbxContent>
                </v:textbox>
              </v:rect>
            </w:pict>
          </mc:Fallback>
        </mc:AlternateContent>
      </w:r>
      <w:r>
        <w:rPr>
          <w:rFonts w:ascii="宋体" w:hAnsi="宋体"/>
          <w:szCs w:val="20"/>
          <w:highlight w:val="none"/>
        </w:rPr>
        <w:br w:type="page"/>
      </w:r>
      <w:bookmarkStart w:id="1084" w:name="_Toc224103493"/>
      <w:r>
        <w:rPr>
          <w:rFonts w:hint="eastAsia" w:ascii="宋体" w:hAnsi="宋体"/>
          <w:sz w:val="36"/>
          <w:szCs w:val="36"/>
          <w:highlight w:val="none"/>
        </w:rPr>
        <w:t>目  录</w:t>
      </w:r>
      <w:bookmarkEnd w:id="1084"/>
    </w:p>
    <w:p w14:paraId="1D33BBE7">
      <w:pPr>
        <w:spacing w:line="360" w:lineRule="auto"/>
        <w:jc w:val="center"/>
        <w:rPr>
          <w:rFonts w:ascii="宋体" w:hAnsi="宋体"/>
          <w:szCs w:val="20"/>
          <w:highlight w:val="none"/>
        </w:rPr>
      </w:pPr>
    </w:p>
    <w:p w14:paraId="59AE9B05">
      <w:pPr>
        <w:spacing w:line="360" w:lineRule="auto"/>
        <w:rPr>
          <w:rFonts w:ascii="宋体" w:hAnsi="宋体"/>
          <w:b/>
          <w:highlight w:val="none"/>
        </w:rPr>
      </w:pPr>
      <w:r>
        <w:rPr>
          <w:rFonts w:hint="eastAsia" w:ascii="宋体" w:hAnsi="宋体"/>
          <w:b/>
          <w:highlight w:val="none"/>
          <w:lang w:eastAsia="zh-CN"/>
        </w:rPr>
        <w:t>一</w:t>
      </w:r>
      <w:r>
        <w:rPr>
          <w:rFonts w:ascii="宋体" w:hAnsi="宋体"/>
          <w:b/>
          <w:highlight w:val="none"/>
        </w:rPr>
        <w:t>、投标函部分</w:t>
      </w:r>
    </w:p>
    <w:p w14:paraId="41AC71E3">
      <w:pPr>
        <w:spacing w:line="360" w:lineRule="auto"/>
        <w:ind w:firstLine="420" w:firstLineChars="200"/>
        <w:rPr>
          <w:rFonts w:ascii="宋体" w:hAnsi="宋体"/>
          <w:highlight w:val="none"/>
        </w:rPr>
      </w:pPr>
      <w:r>
        <w:rPr>
          <w:rFonts w:ascii="宋体" w:hAnsi="宋体"/>
          <w:highlight w:val="none"/>
        </w:rPr>
        <w:t>（一）投标函</w:t>
      </w:r>
    </w:p>
    <w:p w14:paraId="5458D5E8">
      <w:pPr>
        <w:spacing w:line="360" w:lineRule="auto"/>
        <w:ind w:firstLine="420" w:firstLineChars="200"/>
        <w:rPr>
          <w:rFonts w:ascii="宋体" w:hAnsi="宋体"/>
          <w:highlight w:val="none"/>
        </w:rPr>
      </w:pPr>
      <w:r>
        <w:rPr>
          <w:rFonts w:ascii="宋体" w:hAnsi="宋体"/>
          <w:highlight w:val="none"/>
        </w:rPr>
        <w:t>（二）投标函附录</w:t>
      </w:r>
    </w:p>
    <w:p w14:paraId="5B140B77">
      <w:pPr>
        <w:spacing w:line="360" w:lineRule="auto"/>
        <w:ind w:firstLine="420" w:firstLineChars="200"/>
        <w:rPr>
          <w:rFonts w:ascii="宋体" w:hAnsi="宋体"/>
          <w:highlight w:val="none"/>
        </w:rPr>
      </w:pPr>
      <w:r>
        <w:rPr>
          <w:rFonts w:ascii="宋体" w:hAnsi="宋体"/>
          <w:highlight w:val="none"/>
        </w:rPr>
        <w:t>（三）法定代表人身份证明及授权委托书</w:t>
      </w:r>
    </w:p>
    <w:p w14:paraId="5F793237">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投标保证金</w:t>
      </w:r>
      <w:r>
        <w:rPr>
          <w:rFonts w:hint="eastAsia" w:ascii="宋体" w:hAnsi="宋体"/>
          <w:b/>
          <w:bCs/>
          <w:highlight w:val="none"/>
        </w:rPr>
        <w:t>（适用于投标保证金采用现金转账形式的）</w:t>
      </w:r>
    </w:p>
    <w:p w14:paraId="40679012">
      <w:pPr>
        <w:spacing w:line="360" w:lineRule="auto"/>
        <w:rPr>
          <w:rFonts w:ascii="宋体" w:hAnsi="宋体"/>
          <w:b/>
          <w:highlight w:val="none"/>
        </w:rPr>
      </w:pPr>
      <w:r>
        <w:rPr>
          <w:rFonts w:hint="eastAsia" w:ascii="宋体" w:hAnsi="宋体"/>
          <w:b/>
          <w:highlight w:val="none"/>
          <w:lang w:eastAsia="zh-CN"/>
        </w:rPr>
        <w:t>二</w:t>
      </w:r>
      <w:r>
        <w:rPr>
          <w:rFonts w:ascii="宋体" w:hAnsi="宋体"/>
          <w:b/>
          <w:highlight w:val="none"/>
        </w:rPr>
        <w:t>、商务部分</w:t>
      </w:r>
    </w:p>
    <w:p w14:paraId="2ADE8823">
      <w:pPr>
        <w:spacing w:line="360" w:lineRule="auto"/>
        <w:ind w:firstLine="420" w:firstLineChars="200"/>
        <w:rPr>
          <w:rFonts w:ascii="宋体" w:hAnsi="宋体"/>
          <w:highlight w:val="none"/>
        </w:rPr>
      </w:pPr>
      <w:r>
        <w:rPr>
          <w:rFonts w:ascii="宋体" w:hAnsi="宋体"/>
          <w:highlight w:val="none"/>
        </w:rPr>
        <w:t>已标价工程量清单</w:t>
      </w:r>
    </w:p>
    <w:p w14:paraId="312DED45">
      <w:pPr>
        <w:spacing w:line="360" w:lineRule="auto"/>
        <w:rPr>
          <w:rFonts w:ascii="宋体" w:hAnsi="宋体"/>
          <w:b/>
          <w:highlight w:val="none"/>
        </w:rPr>
      </w:pPr>
      <w:r>
        <w:rPr>
          <w:rFonts w:hint="eastAsia" w:ascii="宋体" w:hAnsi="宋体"/>
          <w:b/>
          <w:highlight w:val="none"/>
          <w:lang w:val="en-US" w:eastAsia="zh-CN"/>
        </w:rPr>
        <w:t>三</w:t>
      </w:r>
      <w:r>
        <w:rPr>
          <w:rFonts w:ascii="宋体" w:hAnsi="宋体"/>
          <w:b/>
          <w:highlight w:val="none"/>
        </w:rPr>
        <w:t>、</w:t>
      </w:r>
      <w:r>
        <w:rPr>
          <w:rFonts w:hint="eastAsia" w:ascii="宋体" w:hAnsi="宋体"/>
          <w:b/>
          <w:highlight w:val="none"/>
        </w:rPr>
        <w:t>资格审查部分</w:t>
      </w:r>
    </w:p>
    <w:p w14:paraId="67D8B050">
      <w:pPr>
        <w:spacing w:line="360" w:lineRule="auto"/>
        <w:ind w:firstLine="420" w:firstLineChars="200"/>
        <w:rPr>
          <w:rFonts w:ascii="宋体" w:hAnsi="宋体"/>
          <w:highlight w:val="none"/>
        </w:rPr>
      </w:pPr>
      <w:r>
        <w:rPr>
          <w:rFonts w:ascii="宋体" w:hAnsi="宋体"/>
          <w:highlight w:val="none"/>
        </w:rPr>
        <w:t>（一）法定代表人身份证明及授权委托书</w:t>
      </w:r>
    </w:p>
    <w:p w14:paraId="096583FE">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二</w:t>
      </w:r>
      <w:r>
        <w:rPr>
          <w:rFonts w:ascii="宋体" w:hAnsi="宋体"/>
          <w:highlight w:val="none"/>
        </w:rPr>
        <w:t>）投标人基本情况表</w:t>
      </w:r>
    </w:p>
    <w:p w14:paraId="66AA2EE4">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14:paraId="39279C9B">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投标截止日投标资格情况</w:t>
      </w:r>
    </w:p>
    <w:p w14:paraId="2F4FBBC5">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14:paraId="50CAE89F">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p>
    <w:p w14:paraId="7B2F172D">
      <w:pPr>
        <w:pStyle w:val="5"/>
        <w:spacing w:line="360" w:lineRule="auto"/>
        <w:jc w:val="center"/>
        <w:rPr>
          <w:rFonts w:ascii="宋体" w:hAnsi="宋体"/>
          <w:b w:val="0"/>
          <w:bCs w:val="0"/>
          <w:sz w:val="44"/>
          <w:szCs w:val="44"/>
          <w:highlight w:val="none"/>
        </w:rPr>
      </w:pPr>
      <w:bookmarkStart w:id="1085" w:name="_Toc27983321"/>
      <w:bookmarkStart w:id="1086" w:name="_Toc430530529"/>
      <w:bookmarkStart w:id="1087" w:name="_Toc287620813"/>
      <w:bookmarkStart w:id="1088" w:name="_Toc277082642"/>
      <w:bookmarkStart w:id="1089" w:name="_Toc287607866"/>
      <w:bookmarkStart w:id="1090" w:name="_Toc224103494"/>
      <w:r>
        <w:rPr>
          <w:rFonts w:hint="eastAsia" w:ascii="宋体" w:hAnsi="宋体"/>
          <w:b w:val="0"/>
          <w:bCs w:val="0"/>
          <w:sz w:val="44"/>
          <w:szCs w:val="44"/>
          <w:highlight w:val="none"/>
          <w:lang w:eastAsia="zh-CN"/>
        </w:rPr>
        <w:t>一</w:t>
      </w:r>
      <w:r>
        <w:rPr>
          <w:rFonts w:hint="eastAsia" w:ascii="宋体" w:hAnsi="宋体"/>
          <w:b w:val="0"/>
          <w:bCs w:val="0"/>
          <w:sz w:val="44"/>
          <w:szCs w:val="44"/>
          <w:highlight w:val="none"/>
        </w:rPr>
        <w:t>、投标函部分</w:t>
      </w:r>
      <w:bookmarkEnd w:id="1085"/>
      <w:bookmarkEnd w:id="1086"/>
      <w:bookmarkEnd w:id="1087"/>
      <w:bookmarkEnd w:id="1088"/>
      <w:bookmarkEnd w:id="1089"/>
      <w:bookmarkEnd w:id="1090"/>
    </w:p>
    <w:p w14:paraId="5F852796">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0131AA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540AD05">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3DC7AB0">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71659A6">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016361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24D840B">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E6A623B">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0AA1887A">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7579E5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08A8CE1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D9C170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18AB050">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315881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66FCFDA1">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C8AA115">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6F63100A">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AF2301B">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D3882A0">
      <w:pPr>
        <w:tabs>
          <w:tab w:val="left" w:pos="2580"/>
          <w:tab w:val="left" w:pos="5940"/>
        </w:tabs>
        <w:autoSpaceDE w:val="0"/>
        <w:autoSpaceDN w:val="0"/>
        <w:adjustRightInd w:val="0"/>
        <w:snapToGrid w:val="0"/>
        <w:spacing w:line="360" w:lineRule="auto"/>
        <w:jc w:val="left"/>
        <w:rPr>
          <w:rFonts w:ascii="宋体" w:hAnsi="宋体"/>
          <w:kern w:val="0"/>
          <w:sz w:val="28"/>
          <w:szCs w:val="28"/>
          <w:highlight w:val="none"/>
          <w:u w:val="single"/>
        </w:rPr>
      </w:pPr>
      <w:r>
        <w:rPr>
          <w:rFonts w:ascii="宋体" w:hAnsi="宋体"/>
          <w:kern w:val="0"/>
          <w:sz w:val="28"/>
          <w:szCs w:val="28"/>
          <w:highlight w:val="none"/>
          <w:u w:val="single"/>
        </w:rPr>
        <w:br w:type="page"/>
      </w:r>
    </w:p>
    <w:p w14:paraId="4DD5E2DE">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r>
        <w:rPr>
          <w:rFonts w:hint="eastAsia" w:ascii="宋体" w:hAnsi="宋体"/>
          <w:w w:val="99"/>
          <w:kern w:val="0"/>
          <w:sz w:val="32"/>
          <w:szCs w:val="32"/>
          <w:highlight w:val="none"/>
        </w:rPr>
        <w:t>施工招标</w:t>
      </w:r>
    </w:p>
    <w:p w14:paraId="638FBB4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09F92D4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3A2B22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7044CB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5DD132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D256B72">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1BFC3C54">
      <w:pPr>
        <w:autoSpaceDE w:val="0"/>
        <w:autoSpaceDN w:val="0"/>
        <w:adjustRightInd w:val="0"/>
        <w:snapToGrid w:val="0"/>
        <w:spacing w:line="360" w:lineRule="auto"/>
        <w:jc w:val="left"/>
        <w:rPr>
          <w:rFonts w:ascii="宋体" w:hAnsi="宋体"/>
          <w:kern w:val="0"/>
          <w:sz w:val="16"/>
          <w:szCs w:val="16"/>
          <w:highlight w:val="none"/>
        </w:rPr>
      </w:pPr>
    </w:p>
    <w:p w14:paraId="25D58712">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投标函部分</w:t>
      </w:r>
    </w:p>
    <w:p w14:paraId="7BE9872E">
      <w:pPr>
        <w:autoSpaceDE w:val="0"/>
        <w:autoSpaceDN w:val="0"/>
        <w:adjustRightInd w:val="0"/>
        <w:snapToGrid w:val="0"/>
        <w:spacing w:line="360" w:lineRule="auto"/>
        <w:jc w:val="left"/>
        <w:rPr>
          <w:rFonts w:ascii="宋体" w:hAnsi="宋体"/>
          <w:b/>
          <w:kern w:val="0"/>
          <w:sz w:val="20"/>
          <w:szCs w:val="20"/>
          <w:highlight w:val="none"/>
        </w:rPr>
      </w:pPr>
    </w:p>
    <w:p w14:paraId="71B17528">
      <w:pPr>
        <w:autoSpaceDE w:val="0"/>
        <w:autoSpaceDN w:val="0"/>
        <w:adjustRightInd w:val="0"/>
        <w:snapToGrid w:val="0"/>
        <w:spacing w:line="360" w:lineRule="auto"/>
        <w:jc w:val="left"/>
        <w:rPr>
          <w:rFonts w:ascii="宋体" w:hAnsi="宋体"/>
          <w:b/>
          <w:kern w:val="0"/>
          <w:sz w:val="20"/>
          <w:szCs w:val="20"/>
          <w:highlight w:val="none"/>
        </w:rPr>
      </w:pPr>
    </w:p>
    <w:p w14:paraId="4B0674E0">
      <w:pPr>
        <w:autoSpaceDE w:val="0"/>
        <w:autoSpaceDN w:val="0"/>
        <w:adjustRightInd w:val="0"/>
        <w:snapToGrid w:val="0"/>
        <w:spacing w:line="360" w:lineRule="auto"/>
        <w:jc w:val="left"/>
        <w:rPr>
          <w:rFonts w:ascii="宋体" w:hAnsi="宋体"/>
          <w:b/>
          <w:kern w:val="0"/>
          <w:sz w:val="20"/>
          <w:szCs w:val="20"/>
          <w:highlight w:val="none"/>
        </w:rPr>
      </w:pPr>
    </w:p>
    <w:p w14:paraId="3DB6FED9">
      <w:pPr>
        <w:autoSpaceDE w:val="0"/>
        <w:autoSpaceDN w:val="0"/>
        <w:adjustRightInd w:val="0"/>
        <w:snapToGrid w:val="0"/>
        <w:spacing w:line="360" w:lineRule="auto"/>
        <w:jc w:val="left"/>
        <w:rPr>
          <w:rFonts w:ascii="宋体" w:hAnsi="宋体"/>
          <w:b/>
          <w:kern w:val="0"/>
          <w:sz w:val="20"/>
          <w:szCs w:val="20"/>
          <w:highlight w:val="none"/>
        </w:rPr>
      </w:pPr>
    </w:p>
    <w:p w14:paraId="63486E8B">
      <w:pPr>
        <w:autoSpaceDE w:val="0"/>
        <w:autoSpaceDN w:val="0"/>
        <w:adjustRightInd w:val="0"/>
        <w:snapToGrid w:val="0"/>
        <w:spacing w:line="360" w:lineRule="auto"/>
        <w:jc w:val="left"/>
        <w:rPr>
          <w:rFonts w:ascii="宋体" w:hAnsi="宋体"/>
          <w:b/>
          <w:kern w:val="0"/>
          <w:sz w:val="20"/>
          <w:szCs w:val="20"/>
          <w:highlight w:val="none"/>
        </w:rPr>
      </w:pPr>
    </w:p>
    <w:p w14:paraId="26C2DA7A">
      <w:pPr>
        <w:autoSpaceDE w:val="0"/>
        <w:autoSpaceDN w:val="0"/>
        <w:adjustRightInd w:val="0"/>
        <w:snapToGrid w:val="0"/>
        <w:spacing w:line="360" w:lineRule="auto"/>
        <w:jc w:val="left"/>
        <w:rPr>
          <w:rFonts w:ascii="宋体" w:hAnsi="宋体"/>
          <w:b/>
          <w:kern w:val="0"/>
          <w:sz w:val="20"/>
          <w:szCs w:val="20"/>
          <w:highlight w:val="none"/>
        </w:rPr>
      </w:pPr>
    </w:p>
    <w:p w14:paraId="2A425B14">
      <w:pPr>
        <w:autoSpaceDE w:val="0"/>
        <w:autoSpaceDN w:val="0"/>
        <w:adjustRightInd w:val="0"/>
        <w:snapToGrid w:val="0"/>
        <w:spacing w:line="360" w:lineRule="auto"/>
        <w:jc w:val="left"/>
        <w:rPr>
          <w:rFonts w:ascii="宋体" w:hAnsi="宋体"/>
          <w:b/>
          <w:kern w:val="0"/>
          <w:sz w:val="20"/>
          <w:szCs w:val="20"/>
          <w:highlight w:val="none"/>
        </w:rPr>
      </w:pPr>
    </w:p>
    <w:p w14:paraId="4C01ED11">
      <w:pPr>
        <w:autoSpaceDE w:val="0"/>
        <w:autoSpaceDN w:val="0"/>
        <w:adjustRightInd w:val="0"/>
        <w:snapToGrid w:val="0"/>
        <w:spacing w:line="360" w:lineRule="auto"/>
        <w:jc w:val="left"/>
        <w:rPr>
          <w:rFonts w:ascii="宋体" w:hAnsi="宋体"/>
          <w:b/>
          <w:kern w:val="0"/>
          <w:sz w:val="20"/>
          <w:szCs w:val="20"/>
          <w:highlight w:val="none"/>
        </w:rPr>
      </w:pPr>
    </w:p>
    <w:p w14:paraId="0BBABB86">
      <w:pPr>
        <w:autoSpaceDE w:val="0"/>
        <w:autoSpaceDN w:val="0"/>
        <w:adjustRightInd w:val="0"/>
        <w:snapToGrid w:val="0"/>
        <w:spacing w:line="360" w:lineRule="auto"/>
        <w:jc w:val="left"/>
        <w:rPr>
          <w:rFonts w:ascii="宋体" w:hAnsi="宋体"/>
          <w:b/>
          <w:kern w:val="0"/>
          <w:sz w:val="20"/>
          <w:szCs w:val="20"/>
          <w:highlight w:val="none"/>
        </w:rPr>
      </w:pPr>
    </w:p>
    <w:p w14:paraId="0497EA1B">
      <w:pPr>
        <w:autoSpaceDE w:val="0"/>
        <w:autoSpaceDN w:val="0"/>
        <w:adjustRightInd w:val="0"/>
        <w:snapToGrid w:val="0"/>
        <w:spacing w:line="360" w:lineRule="auto"/>
        <w:jc w:val="left"/>
        <w:rPr>
          <w:rFonts w:ascii="宋体" w:hAnsi="宋体"/>
          <w:b/>
          <w:kern w:val="0"/>
          <w:sz w:val="20"/>
          <w:szCs w:val="20"/>
          <w:highlight w:val="none"/>
        </w:rPr>
      </w:pPr>
    </w:p>
    <w:p w14:paraId="4657AAA6">
      <w:pPr>
        <w:autoSpaceDE w:val="0"/>
        <w:autoSpaceDN w:val="0"/>
        <w:adjustRightInd w:val="0"/>
        <w:snapToGrid w:val="0"/>
        <w:spacing w:line="360" w:lineRule="auto"/>
        <w:jc w:val="left"/>
        <w:rPr>
          <w:rFonts w:ascii="宋体" w:hAnsi="宋体"/>
          <w:b/>
          <w:kern w:val="0"/>
          <w:sz w:val="20"/>
          <w:szCs w:val="20"/>
          <w:highlight w:val="none"/>
        </w:rPr>
      </w:pPr>
    </w:p>
    <w:p w14:paraId="016E0777">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78E6E6C9">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76D1E93B">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14:paraId="05FE02C7">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789DC29D">
      <w:pPr>
        <w:autoSpaceDE w:val="0"/>
        <w:autoSpaceDN w:val="0"/>
        <w:adjustRightInd w:val="0"/>
        <w:snapToGrid w:val="0"/>
        <w:spacing w:line="360" w:lineRule="auto"/>
        <w:jc w:val="left"/>
        <w:rPr>
          <w:rFonts w:ascii="宋体" w:hAnsi="宋体"/>
          <w:kern w:val="0"/>
          <w:sz w:val="24"/>
          <w:szCs w:val="21"/>
          <w:highlight w:val="none"/>
        </w:rPr>
      </w:pPr>
    </w:p>
    <w:p w14:paraId="563A0550">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（一）投标函</w:t>
      </w:r>
    </w:p>
    <w:p w14:paraId="53D43174">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（二）投标函附录</w:t>
      </w:r>
    </w:p>
    <w:p w14:paraId="41C376DE">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（三）法定代表人身份证明及授权委托书</w:t>
      </w:r>
    </w:p>
    <w:p w14:paraId="0474F659">
      <w:pPr>
        <w:autoSpaceDE w:val="0"/>
        <w:autoSpaceDN w:val="0"/>
        <w:adjustRightInd w:val="0"/>
        <w:spacing w:line="360" w:lineRule="auto"/>
        <w:ind w:firstLine="480" w:firstLineChars="200"/>
        <w:jc w:val="left"/>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四</w:t>
      </w:r>
      <w:r>
        <w:rPr>
          <w:rFonts w:hint="eastAsia" w:ascii="宋体" w:hAnsi="宋体"/>
          <w:kern w:val="0"/>
          <w:sz w:val="24"/>
          <w:highlight w:val="none"/>
        </w:rPr>
        <w:t>）投标保证金（适用于投标保证金采用现金转账形式的）</w:t>
      </w:r>
    </w:p>
    <w:p w14:paraId="69C98F7C">
      <w:pPr>
        <w:autoSpaceDE w:val="0"/>
        <w:autoSpaceDN w:val="0"/>
        <w:adjustRightInd w:val="0"/>
        <w:snapToGrid w:val="0"/>
        <w:spacing w:line="360" w:lineRule="auto"/>
        <w:jc w:val="left"/>
        <w:rPr>
          <w:rFonts w:ascii="宋体" w:hAnsi="宋体"/>
          <w:kern w:val="0"/>
          <w:szCs w:val="21"/>
          <w:highlight w:val="none"/>
        </w:rPr>
      </w:pPr>
    </w:p>
    <w:p w14:paraId="3C9D47CB">
      <w:pPr>
        <w:autoSpaceDE w:val="0"/>
        <w:autoSpaceDN w:val="0"/>
        <w:adjustRightInd w:val="0"/>
        <w:snapToGrid w:val="0"/>
        <w:spacing w:line="360" w:lineRule="auto"/>
        <w:jc w:val="left"/>
        <w:rPr>
          <w:rFonts w:ascii="宋体" w:hAnsi="宋体"/>
          <w:kern w:val="0"/>
          <w:szCs w:val="21"/>
          <w:highlight w:val="none"/>
        </w:rPr>
      </w:pPr>
    </w:p>
    <w:p w14:paraId="495E941F">
      <w:pPr>
        <w:autoSpaceDE w:val="0"/>
        <w:autoSpaceDN w:val="0"/>
        <w:adjustRightInd w:val="0"/>
        <w:snapToGrid w:val="0"/>
        <w:spacing w:line="360" w:lineRule="auto"/>
        <w:jc w:val="left"/>
        <w:rPr>
          <w:rFonts w:ascii="宋体" w:hAnsi="宋体"/>
          <w:kern w:val="0"/>
          <w:szCs w:val="21"/>
          <w:highlight w:val="none"/>
        </w:rPr>
      </w:pPr>
    </w:p>
    <w:p w14:paraId="357EE219">
      <w:pPr>
        <w:autoSpaceDE w:val="0"/>
        <w:autoSpaceDN w:val="0"/>
        <w:adjustRightInd w:val="0"/>
        <w:snapToGrid w:val="0"/>
        <w:spacing w:line="360" w:lineRule="auto"/>
        <w:jc w:val="left"/>
        <w:rPr>
          <w:rFonts w:ascii="宋体" w:hAnsi="宋体"/>
          <w:kern w:val="0"/>
          <w:highlight w:val="none"/>
        </w:rPr>
      </w:pPr>
    </w:p>
    <w:p w14:paraId="3CD23C8D">
      <w:pPr>
        <w:autoSpaceDE w:val="0"/>
        <w:autoSpaceDN w:val="0"/>
        <w:adjustRightInd w:val="0"/>
        <w:snapToGrid w:val="0"/>
        <w:spacing w:line="360" w:lineRule="auto"/>
        <w:jc w:val="left"/>
        <w:rPr>
          <w:rFonts w:ascii="宋体" w:hAnsi="宋体"/>
          <w:kern w:val="0"/>
          <w:highlight w:val="none"/>
        </w:rPr>
      </w:pPr>
    </w:p>
    <w:p w14:paraId="5A444858">
      <w:pPr>
        <w:autoSpaceDE w:val="0"/>
        <w:autoSpaceDN w:val="0"/>
        <w:adjustRightInd w:val="0"/>
        <w:snapToGrid w:val="0"/>
        <w:spacing w:line="360" w:lineRule="auto"/>
        <w:jc w:val="left"/>
        <w:rPr>
          <w:rFonts w:ascii="宋体" w:hAnsi="宋体"/>
          <w:kern w:val="0"/>
          <w:highlight w:val="none"/>
        </w:rPr>
      </w:pPr>
    </w:p>
    <w:p w14:paraId="7023EA25">
      <w:pPr>
        <w:autoSpaceDE w:val="0"/>
        <w:autoSpaceDN w:val="0"/>
        <w:adjustRightInd w:val="0"/>
        <w:snapToGrid w:val="0"/>
        <w:spacing w:line="360" w:lineRule="auto"/>
        <w:jc w:val="left"/>
        <w:rPr>
          <w:rFonts w:ascii="宋体" w:hAnsi="宋体"/>
          <w:kern w:val="0"/>
          <w:highlight w:val="none"/>
        </w:rPr>
      </w:pPr>
    </w:p>
    <w:p w14:paraId="552DC205">
      <w:pPr>
        <w:autoSpaceDE w:val="0"/>
        <w:autoSpaceDN w:val="0"/>
        <w:adjustRightInd w:val="0"/>
        <w:snapToGrid w:val="0"/>
        <w:spacing w:line="360" w:lineRule="auto"/>
        <w:jc w:val="left"/>
        <w:rPr>
          <w:rFonts w:ascii="宋体" w:hAnsi="宋体"/>
          <w:kern w:val="0"/>
          <w:highlight w:val="none"/>
        </w:rPr>
      </w:pPr>
    </w:p>
    <w:p w14:paraId="5AEC1896">
      <w:pPr>
        <w:autoSpaceDE w:val="0"/>
        <w:autoSpaceDN w:val="0"/>
        <w:adjustRightInd w:val="0"/>
        <w:snapToGrid w:val="0"/>
        <w:spacing w:line="360" w:lineRule="auto"/>
        <w:jc w:val="left"/>
        <w:rPr>
          <w:rFonts w:ascii="宋体" w:hAnsi="宋体"/>
          <w:kern w:val="0"/>
          <w:highlight w:val="none"/>
        </w:rPr>
      </w:pPr>
    </w:p>
    <w:p w14:paraId="2B8A06C0">
      <w:pPr>
        <w:autoSpaceDE w:val="0"/>
        <w:autoSpaceDN w:val="0"/>
        <w:adjustRightInd w:val="0"/>
        <w:snapToGrid w:val="0"/>
        <w:spacing w:line="360" w:lineRule="auto"/>
        <w:jc w:val="left"/>
        <w:rPr>
          <w:rFonts w:ascii="宋体" w:hAnsi="宋体"/>
          <w:kern w:val="0"/>
          <w:highlight w:val="none"/>
        </w:rPr>
      </w:pPr>
    </w:p>
    <w:p w14:paraId="79B02063">
      <w:pPr>
        <w:autoSpaceDE w:val="0"/>
        <w:autoSpaceDN w:val="0"/>
        <w:adjustRightInd w:val="0"/>
        <w:snapToGrid w:val="0"/>
        <w:spacing w:line="360" w:lineRule="auto"/>
        <w:jc w:val="left"/>
        <w:rPr>
          <w:rFonts w:ascii="宋体" w:hAnsi="宋体"/>
          <w:kern w:val="0"/>
          <w:highlight w:val="none"/>
        </w:rPr>
      </w:pPr>
    </w:p>
    <w:p w14:paraId="7F381C51">
      <w:pPr>
        <w:autoSpaceDE w:val="0"/>
        <w:autoSpaceDN w:val="0"/>
        <w:adjustRightInd w:val="0"/>
        <w:snapToGrid w:val="0"/>
        <w:spacing w:line="360" w:lineRule="auto"/>
        <w:jc w:val="left"/>
        <w:rPr>
          <w:rFonts w:ascii="宋体" w:hAnsi="宋体"/>
          <w:w w:val="99"/>
          <w:kern w:val="0"/>
          <w:sz w:val="28"/>
          <w:szCs w:val="28"/>
          <w:highlight w:val="none"/>
        </w:rPr>
      </w:pPr>
    </w:p>
    <w:p w14:paraId="01B9128E">
      <w:pPr>
        <w:autoSpaceDE w:val="0"/>
        <w:autoSpaceDN w:val="0"/>
        <w:adjustRightInd w:val="0"/>
        <w:snapToGrid w:val="0"/>
        <w:spacing w:line="360" w:lineRule="auto"/>
        <w:jc w:val="left"/>
        <w:rPr>
          <w:rFonts w:ascii="宋体" w:hAnsi="宋体"/>
          <w:w w:val="99"/>
          <w:kern w:val="0"/>
          <w:sz w:val="28"/>
          <w:szCs w:val="28"/>
          <w:highlight w:val="none"/>
        </w:rPr>
      </w:pPr>
    </w:p>
    <w:p w14:paraId="47B92F32">
      <w:pPr>
        <w:autoSpaceDE w:val="0"/>
        <w:autoSpaceDN w:val="0"/>
        <w:adjustRightInd w:val="0"/>
        <w:snapToGrid w:val="0"/>
        <w:spacing w:line="360" w:lineRule="auto"/>
        <w:jc w:val="left"/>
        <w:rPr>
          <w:rFonts w:ascii="宋体" w:hAnsi="宋体"/>
          <w:w w:val="99"/>
          <w:kern w:val="0"/>
          <w:sz w:val="28"/>
          <w:szCs w:val="28"/>
          <w:highlight w:val="none"/>
        </w:rPr>
      </w:pPr>
    </w:p>
    <w:p w14:paraId="69408B44">
      <w:pPr>
        <w:autoSpaceDE w:val="0"/>
        <w:autoSpaceDN w:val="0"/>
        <w:adjustRightInd w:val="0"/>
        <w:snapToGrid w:val="0"/>
        <w:spacing w:line="360" w:lineRule="auto"/>
        <w:jc w:val="left"/>
        <w:rPr>
          <w:rFonts w:ascii="宋体" w:hAnsi="宋体"/>
          <w:w w:val="99"/>
          <w:kern w:val="0"/>
          <w:sz w:val="28"/>
          <w:szCs w:val="28"/>
          <w:highlight w:val="none"/>
        </w:rPr>
      </w:pPr>
    </w:p>
    <w:p w14:paraId="109BB99A">
      <w:pPr>
        <w:spacing w:after="260"/>
        <w:jc w:val="center"/>
        <w:rPr>
          <w:rFonts w:ascii="宋体" w:hAnsi="宋体"/>
          <w:b/>
          <w:highlight w:val="none"/>
        </w:rPr>
      </w:pPr>
      <w:bookmarkStart w:id="1091" w:name="_Toc534185831"/>
      <w:bookmarkStart w:id="1092" w:name="_Toc277082643"/>
      <w:bookmarkStart w:id="1093" w:name="_Toc430530530"/>
      <w:bookmarkStart w:id="1094" w:name="_Toc287620814"/>
      <w:bookmarkStart w:id="1095" w:name="_Toc224103495"/>
      <w:bookmarkStart w:id="1096" w:name="_Toc287607867"/>
      <w:bookmarkStart w:id="1097" w:name="_Toc509218854"/>
      <w:r>
        <w:rPr>
          <w:rFonts w:ascii="宋体" w:hAnsi="宋体"/>
          <w:highlight w:val="none"/>
        </w:rPr>
        <w:br w:type="page"/>
      </w:r>
      <w:r>
        <w:rPr>
          <w:rFonts w:hint="eastAsia" w:ascii="宋体" w:hAnsi="宋体"/>
          <w:snapToGrid w:val="0"/>
          <w:kern w:val="0"/>
          <w:sz w:val="32"/>
          <w:szCs w:val="32"/>
          <w:highlight w:val="none"/>
        </w:rPr>
        <w:t>（一）投标函</w:t>
      </w:r>
      <w:bookmarkEnd w:id="1091"/>
      <w:bookmarkEnd w:id="1092"/>
      <w:bookmarkEnd w:id="1093"/>
      <w:bookmarkEnd w:id="1094"/>
      <w:bookmarkEnd w:id="1095"/>
      <w:bookmarkEnd w:id="1096"/>
      <w:bookmarkEnd w:id="1097"/>
    </w:p>
    <w:p w14:paraId="533C653C">
      <w:pPr>
        <w:tabs>
          <w:tab w:val="left" w:pos="2640"/>
        </w:tabs>
        <w:autoSpaceDE w:val="0"/>
        <w:autoSpaceDN w:val="0"/>
        <w:adjustRightInd w:val="0"/>
        <w:spacing w:line="360" w:lineRule="auto"/>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名称）：</w:t>
      </w:r>
    </w:p>
    <w:p w14:paraId="17520D48">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（项目名称）施工（分包）</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w:t>
      </w:r>
      <w:r>
        <w:rPr>
          <w:rFonts w:hint="eastAsia" w:ascii="宋体" w:hAnsi="宋体"/>
          <w:snapToGrid w:val="0"/>
          <w:kern w:val="0"/>
          <w:szCs w:val="21"/>
          <w:highlight w:val="none"/>
          <w:lang w:eastAsia="zh-CN"/>
        </w:rPr>
        <w:t>，</w:t>
      </w:r>
      <w:r>
        <w:rPr>
          <w:rFonts w:ascii="宋体" w:hAnsi="宋体"/>
          <w:snapToGrid w:val="0"/>
          <w:kern w:val="0"/>
          <w:szCs w:val="21"/>
          <w:highlight w:val="none"/>
        </w:rPr>
        <w:t>其中</w:t>
      </w:r>
      <w:r>
        <w:rPr>
          <w:rFonts w:hint="eastAsia" w:ascii="宋体" w:hAnsi="宋体"/>
          <w:snapToGrid w:val="0"/>
          <w:kern w:val="0"/>
          <w:szCs w:val="21"/>
          <w:highlight w:val="none"/>
          <w:lang w:val="en-US" w:eastAsia="zh-CN"/>
        </w:rPr>
        <w:t>包含</w:t>
      </w:r>
      <w:r>
        <w:rPr>
          <w:rFonts w:ascii="宋体" w:hAnsi="宋体"/>
          <w:snapToGrid w:val="0"/>
          <w:kern w:val="0"/>
          <w:highlight w:val="none"/>
        </w:rPr>
        <w:t>安全文明施工费</w:t>
      </w:r>
      <w:r>
        <w:rPr>
          <w:rFonts w:hint="eastAsia" w:ascii="宋体" w:hAnsi="宋体"/>
          <w:snapToGrid w:val="0"/>
          <w:kern w:val="0"/>
          <w:highlight w:val="none"/>
          <w:u w:val="single"/>
          <w:lang w:val="en-US" w:eastAsia="zh-CN"/>
        </w:rPr>
        <w:t xml:space="preserve">         </w:t>
      </w:r>
      <w:r>
        <w:rPr>
          <w:rFonts w:ascii="宋体" w:hAnsi="宋体"/>
          <w:snapToGrid w:val="0"/>
          <w:kern w:val="0"/>
          <w:szCs w:val="21"/>
          <w:highlight w:val="none"/>
        </w:rPr>
        <w:t>，该工程</w:t>
      </w:r>
      <w:r>
        <w:rPr>
          <w:rFonts w:ascii="宋体" w:hAnsi="宋体"/>
          <w:snapToGrid w:val="0"/>
          <w:kern w:val="0"/>
          <w:highlight w:val="none"/>
        </w:rPr>
        <w:t>项目经理为</w:t>
      </w:r>
      <w:r>
        <w:rPr>
          <w:rFonts w:hint="eastAsia" w:ascii="宋体" w:hAnsi="宋体"/>
          <w:snapToGrid w:val="0"/>
          <w:kern w:val="0"/>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ascii="宋体" w:hAnsi="宋体"/>
          <w:snapToGrid w:val="0"/>
          <w:kern w:val="0"/>
          <w:szCs w:val="21"/>
          <w:highlight w:val="none"/>
          <w:u w:val="single"/>
        </w:rPr>
        <w:tab/>
      </w:r>
      <w:r>
        <w:rPr>
          <w:rFonts w:ascii="宋体" w:hAnsi="宋体"/>
          <w:snapToGrid w:val="0"/>
          <w:kern w:val="0"/>
          <w:szCs w:val="21"/>
          <w:highlight w:val="none"/>
        </w:rPr>
        <w:t>日历天， 按合同约定实施和完成承包工程，修补工程中的任何缺陷，工程质量达到</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 xml:space="preserve"> 。</w:t>
      </w:r>
    </w:p>
    <w:p w14:paraId="4116FFB3">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我方承诺在投标有效期内不修改、撤销投标文件。</w:t>
      </w:r>
    </w:p>
    <w:p w14:paraId="177D13AF">
      <w:pPr>
        <w:tabs>
          <w:tab w:val="left" w:pos="2730"/>
          <w:tab w:val="left" w:pos="7980"/>
        </w:tabs>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随同本投标函提交投标保证金一份，金额为人民币（大写）</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rPr>
        <w:t>元（¥</w:t>
      </w:r>
      <w:r>
        <w:rPr>
          <w:rFonts w:ascii="宋体" w:hAnsi="宋体"/>
          <w:snapToGrid w:val="0"/>
          <w:kern w:val="0"/>
          <w:szCs w:val="21"/>
          <w:highlight w:val="none"/>
          <w:u w:val="single"/>
        </w:rPr>
        <w:tab/>
      </w:r>
      <w:r>
        <w:rPr>
          <w:rFonts w:ascii="宋体" w:hAnsi="宋体"/>
          <w:snapToGrid w:val="0"/>
          <w:kern w:val="0"/>
          <w:szCs w:val="21"/>
          <w:highlight w:val="none"/>
        </w:rPr>
        <w:t>）。投标保证金有限期与投标有限期一致，在此期间，若我方违反招投标有关法律、法规及本</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的相关规定，投标保证金的受益人为</w:t>
      </w:r>
      <w:r>
        <w:rPr>
          <w:rFonts w:hint="eastAsia" w:ascii="宋体" w:hAnsi="宋体"/>
          <w:snapToGrid w:val="0"/>
          <w:kern w:val="0"/>
          <w:szCs w:val="21"/>
          <w:highlight w:val="none"/>
          <w:lang w:eastAsia="zh-CN"/>
        </w:rPr>
        <w:t>比选人</w:t>
      </w:r>
      <w:r>
        <w:rPr>
          <w:rFonts w:ascii="宋体" w:hAnsi="宋体"/>
          <w:snapToGrid w:val="0"/>
          <w:kern w:val="0"/>
          <w:szCs w:val="21"/>
          <w:highlight w:val="none"/>
        </w:rPr>
        <w:t>。</w:t>
      </w:r>
    </w:p>
    <w:p w14:paraId="2089E2AD">
      <w:pPr>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14:paraId="02E582BD">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14:paraId="75F7E7D3">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（2）随同本投标函递交的投标函附录属于合同文件的组成部分。</w:t>
      </w:r>
    </w:p>
    <w:p w14:paraId="02B150A9">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规定向你方递交履约担保。</w:t>
      </w:r>
    </w:p>
    <w:p w14:paraId="06C08184">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（4）我方承诺在合同约定的期限内完成并移交全部合同工程。</w:t>
      </w:r>
    </w:p>
    <w:p w14:paraId="693A4BF9">
      <w:pPr>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5</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在此声明，所递交的投标文件及有关资料内容完整、真实和准确，且不存在第二章“投标人</w:t>
      </w:r>
      <w:r>
        <w:rPr>
          <w:rFonts w:ascii="宋体" w:hAnsi="宋体"/>
          <w:snapToGrid w:val="0"/>
          <w:kern w:val="0"/>
          <w:szCs w:val="21"/>
          <w:highlight w:val="none"/>
        </w:rPr>
        <w:t>须知”第 1.4.3 项规定的任何一种情形。同时我方承诺接受</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及附件、答疑及补遗通知中所有的内容。</w:t>
      </w:r>
    </w:p>
    <w:p w14:paraId="41E76811">
      <w:pPr>
        <w:tabs>
          <w:tab w:val="left" w:pos="5985"/>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6</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（其他补充说明）。</w:t>
      </w:r>
    </w:p>
    <w:p w14:paraId="2D2B8011">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5DC7CD9F">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（签字或盖章）</w:t>
      </w:r>
    </w:p>
    <w:p w14:paraId="5D781066">
      <w:pPr>
        <w:tabs>
          <w:tab w:val="left" w:pos="7035"/>
          <w:tab w:val="left" w:pos="7560"/>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35DDED42">
      <w:pPr>
        <w:tabs>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74BC00E4">
      <w:pPr>
        <w:tabs>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电</w:t>
      </w:r>
      <w:r>
        <w:rPr>
          <w:rFonts w:hint="eastAsia" w:ascii="宋体" w:hAnsi="宋体"/>
          <w:snapToGrid w:val="0"/>
          <w:kern w:val="0"/>
          <w:szCs w:val="21"/>
          <w:highlight w:val="none"/>
        </w:rPr>
        <w:t xml:space="preserve">    </w:t>
      </w:r>
      <w:r>
        <w:rPr>
          <w:rFonts w:ascii="宋体" w:hAnsi="宋体"/>
          <w:snapToGrid w:val="0"/>
          <w:kern w:val="0"/>
          <w:szCs w:val="21"/>
          <w:highlight w:val="none"/>
        </w:rPr>
        <w:t>话：</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1D790334">
      <w:pPr>
        <w:tabs>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261DB7B4">
      <w:pPr>
        <w:tabs>
          <w:tab w:val="left" w:pos="8300"/>
        </w:tabs>
        <w:autoSpaceDE w:val="0"/>
        <w:autoSpaceDN w:val="0"/>
        <w:adjustRightInd w:val="0"/>
        <w:spacing w:line="360" w:lineRule="auto"/>
        <w:ind w:firstLine="420" w:firstLineChars="200"/>
        <w:rPr>
          <w:rFonts w:ascii="宋体" w:hAnsi="宋体"/>
          <w:snapToGrid w:val="0"/>
          <w:kern w:val="0"/>
          <w:sz w:val="20"/>
          <w:szCs w:val="20"/>
          <w:highlight w:val="non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12B309C4">
      <w:pPr>
        <w:tabs>
          <w:tab w:val="left" w:pos="8300"/>
        </w:tabs>
        <w:autoSpaceDE w:val="0"/>
        <w:autoSpaceDN w:val="0"/>
        <w:adjustRightInd w:val="0"/>
        <w:spacing w:line="360" w:lineRule="auto"/>
        <w:ind w:firstLine="420" w:firstLineChars="200"/>
        <w:jc w:val="right"/>
        <w:rPr>
          <w:rFonts w:ascii="宋体" w:hAnsi="宋体"/>
          <w:snapToGrid w:val="0"/>
          <w:kern w:val="0"/>
          <w:sz w:val="20"/>
          <w:szCs w:val="20"/>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49776604">
      <w:pPr>
        <w:spacing w:after="260"/>
        <w:jc w:val="center"/>
        <w:rPr>
          <w:rFonts w:ascii="宋体" w:hAnsi="宋体"/>
          <w:snapToGrid w:val="0"/>
          <w:kern w:val="0"/>
          <w:szCs w:val="21"/>
          <w:highlight w:val="none"/>
        </w:rPr>
      </w:pPr>
      <w:bookmarkStart w:id="1098" w:name="_Toc224103496"/>
      <w:bookmarkStart w:id="1099" w:name="_Toc287607868"/>
      <w:bookmarkStart w:id="1100" w:name="_Toc277082644"/>
      <w:bookmarkStart w:id="1101" w:name="_Toc430530531"/>
      <w:bookmarkStart w:id="1102" w:name="_Toc287620815"/>
      <w:r>
        <w:rPr>
          <w:rFonts w:ascii="宋体" w:hAnsi="宋体"/>
          <w:sz w:val="28"/>
          <w:highlight w:val="none"/>
        </w:rPr>
        <w:br w:type="page"/>
      </w:r>
      <w:bookmarkStart w:id="1103" w:name="_Toc509218855"/>
      <w:bookmarkStart w:id="1104" w:name="_Toc534185832"/>
      <w:r>
        <w:rPr>
          <w:rFonts w:ascii="宋体" w:hAnsi="宋体"/>
          <w:snapToGrid w:val="0"/>
          <w:kern w:val="0"/>
          <w:sz w:val="32"/>
          <w:szCs w:val="32"/>
          <w:highlight w:val="none"/>
        </w:rPr>
        <w:t>（二）投标函附录</w:t>
      </w:r>
      <w:bookmarkEnd w:id="1098"/>
      <w:bookmarkEnd w:id="1099"/>
      <w:bookmarkEnd w:id="1100"/>
      <w:bookmarkEnd w:id="1101"/>
      <w:bookmarkEnd w:id="1102"/>
      <w:bookmarkEnd w:id="1103"/>
      <w:bookmarkEnd w:id="1104"/>
    </w:p>
    <w:tbl>
      <w:tblPr>
        <w:tblStyle w:val="53"/>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BA508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77B7568">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14:paraId="732DB6DA">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14:paraId="510EE550">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14:paraId="7950D81E">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14:paraId="6313A9A2">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14:paraId="086F50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36304D7">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w:t>
            </w:r>
          </w:p>
        </w:tc>
        <w:tc>
          <w:tcPr>
            <w:tcW w:w="2582" w:type="dxa"/>
            <w:vAlign w:val="center"/>
          </w:tcPr>
          <w:p w14:paraId="038727A0">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项目经理</w:t>
            </w:r>
          </w:p>
        </w:tc>
        <w:tc>
          <w:tcPr>
            <w:tcW w:w="2388" w:type="dxa"/>
            <w:vAlign w:val="center"/>
          </w:tcPr>
          <w:p w14:paraId="5A438B6C">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1.1.2.8</w:t>
            </w:r>
          </w:p>
        </w:tc>
        <w:tc>
          <w:tcPr>
            <w:tcW w:w="2987" w:type="dxa"/>
            <w:vAlign w:val="center"/>
          </w:tcPr>
          <w:p w14:paraId="72BC8219">
            <w:pPr>
              <w:tabs>
                <w:tab w:val="left" w:pos="2190"/>
              </w:tabs>
              <w:autoSpaceDE w:val="0"/>
              <w:autoSpaceDN w:val="0"/>
              <w:adjustRightInd w:val="0"/>
              <w:ind w:firstLine="420" w:firstLineChars="200"/>
              <w:jc w:val="left"/>
              <w:rPr>
                <w:rFonts w:ascii="宋体" w:hAnsi="宋体"/>
                <w:snapToGrid w:val="0"/>
                <w:kern w:val="0"/>
                <w:szCs w:val="21"/>
                <w:highlight w:val="none"/>
              </w:rPr>
            </w:pPr>
            <w:r>
              <w:rPr>
                <w:rFonts w:ascii="宋体" w:hAnsi="宋体"/>
                <w:snapToGrid w:val="0"/>
                <w:kern w:val="0"/>
                <w:szCs w:val="21"/>
                <w:highlight w:val="none"/>
              </w:rPr>
              <w:t>姓名：</w:t>
            </w:r>
          </w:p>
        </w:tc>
        <w:tc>
          <w:tcPr>
            <w:tcW w:w="792" w:type="dxa"/>
            <w:vAlign w:val="center"/>
          </w:tcPr>
          <w:p w14:paraId="004F0280">
            <w:pPr>
              <w:autoSpaceDE w:val="0"/>
              <w:autoSpaceDN w:val="0"/>
              <w:adjustRightInd w:val="0"/>
              <w:jc w:val="center"/>
              <w:rPr>
                <w:rFonts w:ascii="宋体" w:hAnsi="宋体"/>
                <w:snapToGrid w:val="0"/>
                <w:kern w:val="0"/>
                <w:szCs w:val="21"/>
                <w:highlight w:val="none"/>
              </w:rPr>
            </w:pPr>
          </w:p>
        </w:tc>
      </w:tr>
      <w:tr w14:paraId="6BCCC6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0526AF3">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2</w:t>
            </w:r>
          </w:p>
        </w:tc>
        <w:tc>
          <w:tcPr>
            <w:tcW w:w="2582" w:type="dxa"/>
            <w:vAlign w:val="center"/>
          </w:tcPr>
          <w:p w14:paraId="4712B357">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工期</w:t>
            </w:r>
          </w:p>
        </w:tc>
        <w:tc>
          <w:tcPr>
            <w:tcW w:w="2388" w:type="dxa"/>
            <w:vAlign w:val="center"/>
          </w:tcPr>
          <w:p w14:paraId="2E68456F">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1.1.4.3</w:t>
            </w:r>
          </w:p>
        </w:tc>
        <w:tc>
          <w:tcPr>
            <w:tcW w:w="2987" w:type="dxa"/>
            <w:vAlign w:val="center"/>
          </w:tcPr>
          <w:p w14:paraId="17DFF84F">
            <w:pPr>
              <w:tabs>
                <w:tab w:val="left" w:pos="1560"/>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天数：</w:t>
            </w:r>
            <w:r>
              <w:rPr>
                <w:rFonts w:ascii="宋体" w:hAnsi="宋体"/>
                <w:snapToGrid w:val="0"/>
                <w:kern w:val="0"/>
                <w:szCs w:val="21"/>
                <w:highlight w:val="none"/>
                <w:u w:val="single"/>
              </w:rPr>
              <w:tab/>
            </w:r>
            <w:r>
              <w:rPr>
                <w:rFonts w:ascii="宋体" w:hAnsi="宋体"/>
                <w:snapToGrid w:val="0"/>
                <w:kern w:val="0"/>
                <w:szCs w:val="21"/>
                <w:highlight w:val="none"/>
              </w:rPr>
              <w:t>日历天</w:t>
            </w:r>
          </w:p>
        </w:tc>
        <w:tc>
          <w:tcPr>
            <w:tcW w:w="792" w:type="dxa"/>
            <w:vAlign w:val="center"/>
          </w:tcPr>
          <w:p w14:paraId="4B9479F0">
            <w:pPr>
              <w:autoSpaceDE w:val="0"/>
              <w:autoSpaceDN w:val="0"/>
              <w:adjustRightInd w:val="0"/>
              <w:jc w:val="center"/>
              <w:rPr>
                <w:rFonts w:ascii="宋体" w:hAnsi="宋体"/>
                <w:snapToGrid w:val="0"/>
                <w:kern w:val="0"/>
                <w:szCs w:val="21"/>
                <w:highlight w:val="none"/>
              </w:rPr>
            </w:pPr>
          </w:p>
        </w:tc>
      </w:tr>
      <w:tr w14:paraId="789A34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D59AA1C">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w:t>
            </w:r>
          </w:p>
        </w:tc>
        <w:tc>
          <w:tcPr>
            <w:tcW w:w="2582" w:type="dxa"/>
            <w:vAlign w:val="center"/>
          </w:tcPr>
          <w:p w14:paraId="2FE9DD2D">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缺陷责任期</w:t>
            </w:r>
          </w:p>
        </w:tc>
        <w:tc>
          <w:tcPr>
            <w:tcW w:w="2388" w:type="dxa"/>
            <w:vAlign w:val="center"/>
          </w:tcPr>
          <w:p w14:paraId="12B41DF6">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1.1.4.4</w:t>
            </w:r>
          </w:p>
        </w:tc>
        <w:tc>
          <w:tcPr>
            <w:tcW w:w="2987" w:type="dxa"/>
            <w:vAlign w:val="center"/>
          </w:tcPr>
          <w:p w14:paraId="2DD93B0D">
            <w:pPr>
              <w:autoSpaceDE w:val="0"/>
              <w:autoSpaceDN w:val="0"/>
              <w:adjustRightInd w:val="0"/>
              <w:jc w:val="center"/>
              <w:rPr>
                <w:rFonts w:ascii="宋体" w:hAnsi="宋体"/>
                <w:snapToGrid w:val="0"/>
                <w:kern w:val="0"/>
                <w:szCs w:val="21"/>
                <w:highlight w:val="none"/>
              </w:rPr>
            </w:pPr>
          </w:p>
        </w:tc>
        <w:tc>
          <w:tcPr>
            <w:tcW w:w="792" w:type="dxa"/>
            <w:vAlign w:val="center"/>
          </w:tcPr>
          <w:p w14:paraId="186C4B56">
            <w:pPr>
              <w:autoSpaceDE w:val="0"/>
              <w:autoSpaceDN w:val="0"/>
              <w:adjustRightInd w:val="0"/>
              <w:jc w:val="center"/>
              <w:rPr>
                <w:rFonts w:ascii="宋体" w:hAnsi="宋体"/>
                <w:snapToGrid w:val="0"/>
                <w:kern w:val="0"/>
                <w:szCs w:val="21"/>
                <w:highlight w:val="none"/>
              </w:rPr>
            </w:pPr>
          </w:p>
        </w:tc>
      </w:tr>
      <w:tr w14:paraId="04A70E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7D819E1">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4</w:t>
            </w:r>
          </w:p>
        </w:tc>
        <w:tc>
          <w:tcPr>
            <w:tcW w:w="2582" w:type="dxa"/>
            <w:vAlign w:val="center"/>
          </w:tcPr>
          <w:p w14:paraId="67F5DBBC">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14:paraId="2EF28560">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14:paraId="1169D741">
            <w:pPr>
              <w:autoSpaceDE w:val="0"/>
              <w:autoSpaceDN w:val="0"/>
              <w:adjustRightInd w:val="0"/>
              <w:jc w:val="center"/>
              <w:rPr>
                <w:rFonts w:ascii="宋体" w:hAnsi="宋体"/>
                <w:snapToGrid w:val="0"/>
                <w:kern w:val="0"/>
                <w:szCs w:val="21"/>
                <w:highlight w:val="none"/>
              </w:rPr>
            </w:pPr>
          </w:p>
        </w:tc>
        <w:tc>
          <w:tcPr>
            <w:tcW w:w="792" w:type="dxa"/>
            <w:vAlign w:val="center"/>
          </w:tcPr>
          <w:p w14:paraId="279D7834">
            <w:pPr>
              <w:autoSpaceDE w:val="0"/>
              <w:autoSpaceDN w:val="0"/>
              <w:adjustRightInd w:val="0"/>
              <w:jc w:val="center"/>
              <w:rPr>
                <w:rFonts w:ascii="宋体" w:hAnsi="宋体"/>
                <w:snapToGrid w:val="0"/>
                <w:kern w:val="0"/>
                <w:szCs w:val="21"/>
                <w:highlight w:val="none"/>
              </w:rPr>
            </w:pPr>
          </w:p>
        </w:tc>
      </w:tr>
      <w:tr w14:paraId="4BB4BA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B339104">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5</w:t>
            </w:r>
          </w:p>
        </w:tc>
        <w:tc>
          <w:tcPr>
            <w:tcW w:w="2582" w:type="dxa"/>
            <w:vAlign w:val="center"/>
          </w:tcPr>
          <w:p w14:paraId="35A5C262">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价格调整的差额计算</w:t>
            </w:r>
          </w:p>
        </w:tc>
        <w:tc>
          <w:tcPr>
            <w:tcW w:w="2388" w:type="dxa"/>
            <w:vAlign w:val="center"/>
          </w:tcPr>
          <w:p w14:paraId="53E242D6">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11.1</w:t>
            </w:r>
          </w:p>
        </w:tc>
        <w:tc>
          <w:tcPr>
            <w:tcW w:w="2987" w:type="dxa"/>
            <w:vAlign w:val="center"/>
          </w:tcPr>
          <w:p w14:paraId="63E91BD4">
            <w:pPr>
              <w:autoSpaceDE w:val="0"/>
              <w:autoSpaceDN w:val="0"/>
              <w:adjustRightInd w:val="0"/>
              <w:jc w:val="center"/>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lang w:val="en-US" w:eastAsia="zh-CN"/>
              </w:rPr>
              <w:t>不调整</w:t>
            </w:r>
          </w:p>
        </w:tc>
        <w:tc>
          <w:tcPr>
            <w:tcW w:w="792" w:type="dxa"/>
            <w:vAlign w:val="center"/>
          </w:tcPr>
          <w:p w14:paraId="114010A2">
            <w:pPr>
              <w:autoSpaceDE w:val="0"/>
              <w:autoSpaceDN w:val="0"/>
              <w:adjustRightInd w:val="0"/>
              <w:jc w:val="center"/>
              <w:rPr>
                <w:rFonts w:ascii="宋体" w:hAnsi="宋体"/>
                <w:snapToGrid w:val="0"/>
                <w:kern w:val="0"/>
                <w:szCs w:val="21"/>
                <w:highlight w:val="none"/>
              </w:rPr>
            </w:pPr>
          </w:p>
        </w:tc>
      </w:tr>
      <w:tr w14:paraId="0DE1CF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C330B68">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3C586B08">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17664317">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1360CDC1">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275808FF">
            <w:pPr>
              <w:autoSpaceDE w:val="0"/>
              <w:autoSpaceDN w:val="0"/>
              <w:adjustRightInd w:val="0"/>
              <w:jc w:val="center"/>
              <w:rPr>
                <w:rFonts w:ascii="宋体" w:hAnsi="宋体"/>
                <w:snapToGrid w:val="0"/>
                <w:kern w:val="0"/>
                <w:szCs w:val="21"/>
                <w:highlight w:val="none"/>
              </w:rPr>
            </w:pPr>
          </w:p>
        </w:tc>
      </w:tr>
      <w:tr w14:paraId="3570CD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CFDEE3F">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5389F12A">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46126820">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570B3746">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7D210DF4">
            <w:pPr>
              <w:autoSpaceDE w:val="0"/>
              <w:autoSpaceDN w:val="0"/>
              <w:adjustRightInd w:val="0"/>
              <w:jc w:val="center"/>
              <w:rPr>
                <w:rFonts w:ascii="宋体" w:hAnsi="宋体"/>
                <w:snapToGrid w:val="0"/>
                <w:kern w:val="0"/>
                <w:szCs w:val="21"/>
                <w:highlight w:val="none"/>
              </w:rPr>
            </w:pPr>
          </w:p>
        </w:tc>
      </w:tr>
    </w:tbl>
    <w:p w14:paraId="1BF14791">
      <w:pPr>
        <w:spacing w:line="360" w:lineRule="auto"/>
        <w:rPr>
          <w:rFonts w:ascii="宋体" w:hAnsi="宋体"/>
          <w:snapToGrid w:val="0"/>
          <w:w w:val="99"/>
          <w:highlight w:val="none"/>
        </w:rPr>
      </w:pPr>
    </w:p>
    <w:p w14:paraId="6F75013D">
      <w:pPr>
        <w:spacing w:line="360" w:lineRule="auto"/>
        <w:rPr>
          <w:rFonts w:ascii="宋体" w:hAnsi="宋体"/>
          <w:snapToGrid w:val="0"/>
          <w:highlight w:val="none"/>
        </w:rPr>
      </w:pPr>
    </w:p>
    <w:p w14:paraId="5ED9F53E">
      <w:pPr>
        <w:pStyle w:val="51"/>
        <w:rPr>
          <w:highlight w:val="none"/>
        </w:rPr>
      </w:pPr>
    </w:p>
    <w:p w14:paraId="52966A39">
      <w:pPr>
        <w:spacing w:line="360" w:lineRule="auto"/>
        <w:rPr>
          <w:rFonts w:ascii="宋体" w:hAnsi="宋体"/>
          <w:snapToGrid w:val="0"/>
          <w:highlight w:val="none"/>
        </w:rPr>
      </w:pPr>
    </w:p>
    <w:p w14:paraId="1608ACE9">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5D3C9641">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snapToGrid w:val="0"/>
          <w:kern w:val="0"/>
          <w:szCs w:val="21"/>
          <w:highlight w:val="none"/>
        </w:rPr>
      </w:pPr>
      <w:r>
        <w:rPr>
          <w:rFonts w:hint="eastAsia" w:ascii="宋体" w:hAnsi="宋体"/>
          <w:snapToGrid w:val="0"/>
          <w:kern w:val="0"/>
          <w:szCs w:val="21"/>
          <w:highlight w:val="none"/>
        </w:rPr>
        <w:t xml:space="preserve">   </w:t>
      </w:r>
    </w:p>
    <w:p w14:paraId="042719FE">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 xml:space="preserve">（签字或盖章） </w:t>
      </w:r>
    </w:p>
    <w:p w14:paraId="517B92A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14:paraId="1019D4E4">
      <w:pPr>
        <w:tabs>
          <w:tab w:val="left" w:pos="7140"/>
          <w:tab w:val="left" w:pos="7560"/>
          <w:tab w:val="left" w:pos="8300"/>
        </w:tabs>
        <w:autoSpaceDE w:val="0"/>
        <w:autoSpaceDN w:val="0"/>
        <w:adjustRightInd w:val="0"/>
        <w:spacing w:line="360" w:lineRule="auto"/>
        <w:ind w:right="210"/>
        <w:jc w:val="center"/>
        <w:rPr>
          <w:rFonts w:ascii="宋体" w:hAnsi="宋体"/>
          <w:snapToGrid w:val="0"/>
          <w:kern w:val="0"/>
          <w:szCs w:val="21"/>
          <w:highlight w:val="none"/>
        </w:rPr>
      </w:pPr>
      <w:r>
        <w:rPr>
          <w:rFonts w:ascii="宋体" w:hAnsi="宋体"/>
          <w:snapToGrid w:val="0"/>
          <w:highlight w:val="none"/>
        </w:rPr>
        <w:br w:type="page"/>
      </w:r>
      <w:bookmarkStart w:id="1105" w:name="_Toc287620816"/>
      <w:bookmarkStart w:id="1106" w:name="_Toc277082645"/>
      <w:bookmarkStart w:id="1107" w:name="_Toc430530532"/>
      <w:bookmarkStart w:id="1108" w:name="_Toc224103497"/>
      <w:bookmarkStart w:id="1109" w:name="_Toc287607869"/>
      <w:r>
        <w:rPr>
          <w:rFonts w:ascii="宋体" w:hAnsi="宋体"/>
          <w:snapToGrid w:val="0"/>
          <w:kern w:val="0"/>
          <w:sz w:val="32"/>
          <w:szCs w:val="32"/>
          <w:highlight w:val="none"/>
        </w:rPr>
        <w:t>（三）法定代表人身份证明及授权委托书</w:t>
      </w:r>
      <w:bookmarkEnd w:id="1105"/>
      <w:bookmarkEnd w:id="1106"/>
      <w:bookmarkEnd w:id="1107"/>
      <w:bookmarkEnd w:id="1108"/>
      <w:bookmarkEnd w:id="1109"/>
    </w:p>
    <w:p w14:paraId="60AF7156">
      <w:pPr>
        <w:spacing w:line="480" w:lineRule="auto"/>
        <w:jc w:val="center"/>
        <w:rPr>
          <w:rFonts w:hint="eastAsia" w:ascii="宋体" w:hAnsi="宋体"/>
          <w:sz w:val="28"/>
          <w:highlight w:val="none"/>
        </w:rPr>
      </w:pPr>
      <w:r>
        <w:rPr>
          <w:rFonts w:hint="eastAsia" w:ascii="宋体" w:hAnsi="宋体"/>
          <w:sz w:val="28"/>
          <w:highlight w:val="none"/>
        </w:rPr>
        <w:t>法定代表人身份证明</w:t>
      </w:r>
    </w:p>
    <w:p w14:paraId="4E865251">
      <w:pPr>
        <w:spacing w:line="480" w:lineRule="auto"/>
        <w:jc w:val="center"/>
        <w:rPr>
          <w:rFonts w:ascii="宋体" w:hAnsi="宋体"/>
          <w:highlight w:val="none"/>
        </w:rPr>
      </w:pPr>
    </w:p>
    <w:p w14:paraId="2041AD88">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DF56D2B">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06DADDE8">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3DDD2013">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326F6B3F">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9BBC68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7017D32D">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（投标人名称）的法定代表人。</w:t>
      </w:r>
    </w:p>
    <w:p w14:paraId="53E9B981">
      <w:pPr>
        <w:autoSpaceDE w:val="0"/>
        <w:autoSpaceDN w:val="0"/>
        <w:adjustRightInd w:val="0"/>
        <w:snapToGrid w:val="0"/>
        <w:spacing w:line="480" w:lineRule="auto"/>
        <w:ind w:firstLine="186" w:firstLineChars="186"/>
        <w:jc w:val="left"/>
        <w:rPr>
          <w:rFonts w:ascii="宋体" w:hAnsi="宋体"/>
          <w:kern w:val="0"/>
          <w:sz w:val="10"/>
          <w:szCs w:val="10"/>
          <w:highlight w:val="none"/>
        </w:rPr>
      </w:pPr>
    </w:p>
    <w:p w14:paraId="53FEA70B">
      <w:pPr>
        <w:autoSpaceDE w:val="0"/>
        <w:autoSpaceDN w:val="0"/>
        <w:adjustRightInd w:val="0"/>
        <w:snapToGrid w:val="0"/>
        <w:spacing w:line="480" w:lineRule="auto"/>
        <w:ind w:firstLine="810" w:firstLineChars="386"/>
        <w:jc w:val="left"/>
        <w:rPr>
          <w:rFonts w:hint="eastAsia" w:ascii="宋体" w:hAnsi="宋体"/>
          <w:kern w:val="0"/>
          <w:szCs w:val="21"/>
          <w:highlight w:val="none"/>
        </w:rPr>
      </w:pPr>
      <w:r>
        <w:rPr>
          <w:rFonts w:ascii="宋体" w:hAnsi="宋体"/>
          <w:kern w:val="0"/>
          <w:szCs w:val="21"/>
          <w:highlight w:val="none"/>
        </w:rPr>
        <w:t>特此证明。</w:t>
      </w:r>
    </w:p>
    <w:p w14:paraId="6F65E48A">
      <w:pPr>
        <w:autoSpaceDE w:val="0"/>
        <w:autoSpaceDN w:val="0"/>
        <w:adjustRightInd w:val="0"/>
        <w:snapToGrid w:val="0"/>
        <w:spacing w:line="480" w:lineRule="auto"/>
        <w:ind w:firstLine="810" w:firstLineChars="386"/>
        <w:jc w:val="left"/>
        <w:rPr>
          <w:rFonts w:hint="eastAsia" w:ascii="宋体" w:hAnsi="宋体"/>
          <w:kern w:val="0"/>
          <w:szCs w:val="21"/>
          <w:highlight w:val="none"/>
        </w:rPr>
      </w:pPr>
    </w:p>
    <w:p w14:paraId="516DCD3F">
      <w:pPr>
        <w:autoSpaceDE w:val="0"/>
        <w:autoSpaceDN w:val="0"/>
        <w:adjustRightInd w:val="0"/>
        <w:snapToGrid w:val="0"/>
        <w:spacing w:line="480" w:lineRule="auto"/>
        <w:ind w:firstLine="772" w:firstLineChars="386"/>
        <w:jc w:val="left"/>
        <w:rPr>
          <w:rFonts w:hint="eastAsia" w:ascii="宋体" w:hAnsi="宋体"/>
          <w:kern w:val="0"/>
          <w:sz w:val="20"/>
          <w:szCs w:val="20"/>
          <w:highlight w:val="none"/>
        </w:rPr>
      </w:pPr>
    </w:p>
    <w:p w14:paraId="0CD6408A">
      <w:pPr>
        <w:autoSpaceDE w:val="0"/>
        <w:autoSpaceDN w:val="0"/>
        <w:adjustRightInd w:val="0"/>
        <w:snapToGrid w:val="0"/>
        <w:spacing w:line="480" w:lineRule="auto"/>
        <w:jc w:val="left"/>
        <w:rPr>
          <w:rFonts w:ascii="宋体" w:hAnsi="宋体"/>
          <w:kern w:val="0"/>
          <w:sz w:val="20"/>
          <w:szCs w:val="20"/>
          <w:highlight w:val="none"/>
        </w:rPr>
      </w:pPr>
    </w:p>
    <w:p w14:paraId="5FBB3C99">
      <w:pPr>
        <w:tabs>
          <w:tab w:val="left" w:pos="5460"/>
        </w:tabs>
        <w:autoSpaceDE w:val="0"/>
        <w:autoSpaceDN w:val="0"/>
        <w:adjustRightInd w:val="0"/>
        <w:snapToGrid w:val="0"/>
        <w:spacing w:line="480" w:lineRule="auto"/>
        <w:ind w:firstLine="21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588C32F6">
      <w:pPr>
        <w:autoSpaceDE w:val="0"/>
        <w:autoSpaceDN w:val="0"/>
        <w:adjustRightInd w:val="0"/>
        <w:snapToGrid w:val="0"/>
        <w:spacing w:line="480" w:lineRule="auto"/>
        <w:jc w:val="left"/>
        <w:rPr>
          <w:rFonts w:ascii="宋体" w:hAnsi="宋体"/>
          <w:kern w:val="0"/>
          <w:sz w:val="20"/>
          <w:szCs w:val="20"/>
          <w:highlight w:val="none"/>
        </w:rPr>
      </w:pPr>
    </w:p>
    <w:p w14:paraId="0C9F64EB">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4B559495">
      <w:pPr>
        <w:autoSpaceDE w:val="0"/>
        <w:autoSpaceDN w:val="0"/>
        <w:adjustRightInd w:val="0"/>
        <w:snapToGrid w:val="0"/>
        <w:spacing w:line="360" w:lineRule="auto"/>
        <w:jc w:val="left"/>
        <w:rPr>
          <w:rFonts w:ascii="宋体" w:hAnsi="宋体"/>
          <w:kern w:val="0"/>
          <w:highlight w:val="none"/>
        </w:rPr>
      </w:pPr>
    </w:p>
    <w:p w14:paraId="5387C6B2">
      <w:pPr>
        <w:autoSpaceDE w:val="0"/>
        <w:autoSpaceDN w:val="0"/>
        <w:adjustRightInd w:val="0"/>
        <w:snapToGrid w:val="0"/>
        <w:spacing w:line="360" w:lineRule="auto"/>
        <w:jc w:val="left"/>
        <w:rPr>
          <w:rFonts w:ascii="宋体" w:hAnsi="宋体"/>
          <w:kern w:val="0"/>
          <w:highlight w:val="none"/>
        </w:rPr>
      </w:pPr>
    </w:p>
    <w:p w14:paraId="3B0C2269">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1DB1E715">
      <w:pPr>
        <w:autoSpaceDE w:val="0"/>
        <w:autoSpaceDN w:val="0"/>
        <w:adjustRightInd w:val="0"/>
        <w:snapToGrid w:val="0"/>
        <w:spacing w:line="360" w:lineRule="auto"/>
        <w:jc w:val="left"/>
        <w:rPr>
          <w:rFonts w:ascii="宋体" w:hAnsi="宋体"/>
          <w:kern w:val="0"/>
          <w:highlight w:val="none"/>
        </w:rPr>
      </w:pPr>
    </w:p>
    <w:p w14:paraId="21156B72">
      <w:pPr>
        <w:autoSpaceDE w:val="0"/>
        <w:autoSpaceDN w:val="0"/>
        <w:adjustRightInd w:val="0"/>
        <w:snapToGrid w:val="0"/>
        <w:spacing w:line="360" w:lineRule="auto"/>
        <w:jc w:val="left"/>
        <w:rPr>
          <w:rFonts w:ascii="宋体" w:hAnsi="宋体"/>
          <w:kern w:val="0"/>
          <w:highlight w:val="none"/>
        </w:rPr>
      </w:pPr>
    </w:p>
    <w:p w14:paraId="13D7314A">
      <w:pPr>
        <w:autoSpaceDE w:val="0"/>
        <w:autoSpaceDN w:val="0"/>
        <w:adjustRightInd w:val="0"/>
        <w:snapToGrid w:val="0"/>
        <w:spacing w:line="360" w:lineRule="auto"/>
        <w:jc w:val="left"/>
        <w:rPr>
          <w:rFonts w:ascii="宋体" w:hAnsi="宋体"/>
          <w:kern w:val="0"/>
          <w:highlight w:val="none"/>
        </w:rPr>
      </w:pPr>
    </w:p>
    <w:p w14:paraId="437BD3F9">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12"/>
          <w:szCs w:val="12"/>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7D29D605">
      <w:pPr>
        <w:autoSpaceDE w:val="0"/>
        <w:autoSpaceDN w:val="0"/>
        <w:adjustRightInd w:val="0"/>
        <w:snapToGrid w:val="0"/>
        <w:spacing w:line="360" w:lineRule="auto"/>
        <w:jc w:val="left"/>
        <w:rPr>
          <w:rFonts w:ascii="宋体" w:hAnsi="宋体"/>
          <w:kern w:val="0"/>
          <w:sz w:val="20"/>
          <w:szCs w:val="20"/>
          <w:highlight w:val="none"/>
        </w:rPr>
      </w:pPr>
    </w:p>
    <w:p w14:paraId="0C67B618">
      <w:pPr>
        <w:autoSpaceDE w:val="0"/>
        <w:autoSpaceDN w:val="0"/>
        <w:adjustRightInd w:val="0"/>
        <w:snapToGrid w:val="0"/>
        <w:spacing w:line="360" w:lineRule="auto"/>
        <w:jc w:val="left"/>
        <w:rPr>
          <w:rFonts w:ascii="宋体" w:hAnsi="宋体"/>
          <w:kern w:val="0"/>
          <w:sz w:val="20"/>
          <w:szCs w:val="20"/>
          <w:highlight w:val="none"/>
        </w:rPr>
      </w:pPr>
    </w:p>
    <w:p w14:paraId="257863AC">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本人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（姓名）系</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投</w:t>
      </w:r>
      <w:r>
        <w:rPr>
          <w:rFonts w:ascii="宋体" w:hAnsi="宋体"/>
          <w:kern w:val="0"/>
          <w:szCs w:val="21"/>
          <w:highlight w:val="none"/>
        </w:rPr>
        <w:t>标人名称</w:t>
      </w:r>
      <w:r>
        <w:rPr>
          <w:rFonts w:ascii="宋体" w:hAnsi="宋体"/>
          <w:spacing w:val="1"/>
          <w:kern w:val="0"/>
          <w:szCs w:val="21"/>
          <w:highlight w:val="non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（姓 名）为我方代理人。代理人根据授权，以我方名义签署、澄清、说明、补正、递交、撤回、 修改</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（项</w:t>
      </w:r>
      <w:r>
        <w:rPr>
          <w:rFonts w:ascii="宋体" w:hAnsi="宋体"/>
          <w:spacing w:val="-1"/>
          <w:kern w:val="0"/>
          <w:szCs w:val="21"/>
          <w:highlight w:val="none"/>
        </w:rPr>
        <w:t>目</w:t>
      </w:r>
      <w:r>
        <w:rPr>
          <w:rFonts w:ascii="宋体" w:hAnsi="宋体"/>
          <w:kern w:val="0"/>
          <w:szCs w:val="21"/>
          <w:highlight w:val="none"/>
        </w:rPr>
        <w:t>名称）施工（分包）投标文件</w:t>
      </w:r>
      <w:r>
        <w:rPr>
          <w:rFonts w:hint="eastAsia" w:ascii="宋体" w:hAnsi="宋体"/>
          <w:kern w:val="0"/>
          <w:szCs w:val="21"/>
          <w:highlight w:val="none"/>
        </w:rPr>
        <w:t>、</w:t>
      </w:r>
      <w:r>
        <w:rPr>
          <w:rFonts w:ascii="宋体" w:hAnsi="宋体"/>
          <w:kern w:val="0"/>
          <w:szCs w:val="21"/>
          <w:highlight w:val="none"/>
        </w:rPr>
        <w:t>签订合同和处理有关事宜， 其法律后果由我方承担。</w:t>
      </w:r>
    </w:p>
    <w:p w14:paraId="16221F6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kern w:val="0"/>
          <w:szCs w:val="21"/>
          <w:highlight w:val="none"/>
        </w:rPr>
        <w:t xml:space="preserve">。 </w:t>
      </w:r>
    </w:p>
    <w:p w14:paraId="68B3FA9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519D467E">
      <w:pPr>
        <w:autoSpaceDE w:val="0"/>
        <w:autoSpaceDN w:val="0"/>
        <w:adjustRightInd w:val="0"/>
        <w:snapToGrid w:val="0"/>
        <w:spacing w:line="480" w:lineRule="auto"/>
        <w:jc w:val="left"/>
        <w:rPr>
          <w:rFonts w:ascii="宋体" w:hAnsi="宋体"/>
          <w:kern w:val="0"/>
          <w:sz w:val="12"/>
          <w:szCs w:val="12"/>
          <w:highlight w:val="none"/>
        </w:rPr>
      </w:pPr>
    </w:p>
    <w:p w14:paraId="0278D851">
      <w:pPr>
        <w:autoSpaceDE w:val="0"/>
        <w:autoSpaceDN w:val="0"/>
        <w:adjustRightInd w:val="0"/>
        <w:snapToGrid w:val="0"/>
        <w:spacing w:line="480" w:lineRule="auto"/>
        <w:jc w:val="left"/>
        <w:rPr>
          <w:rFonts w:ascii="宋体" w:hAnsi="宋体"/>
          <w:kern w:val="0"/>
          <w:sz w:val="12"/>
          <w:szCs w:val="12"/>
          <w:highlight w:val="none"/>
        </w:rPr>
      </w:pPr>
    </w:p>
    <w:p w14:paraId="1E0C04D4">
      <w:pPr>
        <w:autoSpaceDE w:val="0"/>
        <w:autoSpaceDN w:val="0"/>
        <w:adjustRightInd w:val="0"/>
        <w:snapToGrid w:val="0"/>
        <w:spacing w:line="480" w:lineRule="auto"/>
        <w:jc w:val="left"/>
        <w:rPr>
          <w:rFonts w:ascii="宋体" w:hAnsi="宋体"/>
          <w:kern w:val="0"/>
          <w:sz w:val="20"/>
          <w:szCs w:val="20"/>
          <w:highlight w:val="none"/>
        </w:rPr>
      </w:pPr>
    </w:p>
    <w:p w14:paraId="38B77429">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6E35FB93">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（签字或盖章）</w:t>
      </w:r>
    </w:p>
    <w:p w14:paraId="5A943EF0">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23B24F99">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（签</w:t>
      </w:r>
      <w:r>
        <w:rPr>
          <w:rFonts w:ascii="宋体" w:hAnsi="宋体"/>
          <w:spacing w:val="-1"/>
          <w:kern w:val="0"/>
          <w:szCs w:val="21"/>
          <w:highlight w:val="none"/>
        </w:rPr>
        <w:t>字</w:t>
      </w:r>
      <w:r>
        <w:rPr>
          <w:rFonts w:ascii="宋体" w:hAnsi="宋体"/>
          <w:kern w:val="0"/>
          <w:szCs w:val="21"/>
          <w:highlight w:val="none"/>
        </w:rPr>
        <w:t>）</w:t>
      </w:r>
    </w:p>
    <w:p w14:paraId="688DCE3A">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u w:val="single"/>
        </w:rPr>
        <w:t xml:space="preserve">    </w:t>
      </w:r>
    </w:p>
    <w:p w14:paraId="7E76E8B7">
      <w:pPr>
        <w:autoSpaceDE w:val="0"/>
        <w:autoSpaceDN w:val="0"/>
        <w:adjustRightInd w:val="0"/>
        <w:snapToGrid w:val="0"/>
        <w:spacing w:line="480" w:lineRule="auto"/>
        <w:jc w:val="left"/>
        <w:rPr>
          <w:rFonts w:hint="eastAsia" w:ascii="宋体" w:hAnsi="宋体"/>
          <w:kern w:val="0"/>
          <w:sz w:val="20"/>
          <w:szCs w:val="20"/>
          <w:highlight w:val="none"/>
        </w:rPr>
      </w:pPr>
    </w:p>
    <w:p w14:paraId="753ACC11">
      <w:pPr>
        <w:autoSpaceDE w:val="0"/>
        <w:autoSpaceDN w:val="0"/>
        <w:adjustRightInd w:val="0"/>
        <w:snapToGrid w:val="0"/>
        <w:spacing w:line="480" w:lineRule="auto"/>
        <w:jc w:val="left"/>
        <w:rPr>
          <w:rFonts w:hint="eastAsia" w:ascii="宋体" w:hAnsi="宋体"/>
          <w:kern w:val="0"/>
          <w:sz w:val="20"/>
          <w:szCs w:val="20"/>
          <w:highlight w:val="none"/>
        </w:rPr>
      </w:pPr>
    </w:p>
    <w:p w14:paraId="7A8EF60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79FA8B9C">
      <w:pPr>
        <w:tabs>
          <w:tab w:val="left" w:pos="5760"/>
        </w:tabs>
        <w:autoSpaceDE w:val="0"/>
        <w:autoSpaceDN w:val="0"/>
        <w:adjustRightInd w:val="0"/>
        <w:spacing w:line="360" w:lineRule="auto"/>
        <w:ind w:firstLine="420" w:firstLineChars="200"/>
        <w:rPr>
          <w:rFonts w:hint="eastAsia" w:ascii="宋体" w:hAnsi="宋体"/>
          <w:kern w:val="0"/>
          <w:highlight w:val="none"/>
        </w:rPr>
      </w:pPr>
    </w:p>
    <w:p w14:paraId="243E0DEB">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FBF44B5">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2、法定代表人身份证明及授权委托书原件装入投标文件一并递交。另外须准备一份授权委托书原件在开标现场出具。</w:t>
      </w:r>
    </w:p>
    <w:p w14:paraId="7DFE40BF">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51A12076">
      <w:pPr>
        <w:spacing w:line="360" w:lineRule="auto"/>
        <w:ind w:firstLine="420" w:firstLineChars="200"/>
        <w:rPr>
          <w:rFonts w:ascii="宋体" w:hAnsi="宋体"/>
          <w:highlight w:val="none"/>
        </w:rPr>
      </w:pPr>
      <w:r>
        <w:rPr>
          <w:rFonts w:ascii="宋体" w:hAnsi="宋体"/>
          <w:highlight w:val="none"/>
        </w:rPr>
        <w:br w:type="page"/>
      </w:r>
    </w:p>
    <w:p w14:paraId="1C8E26CB">
      <w:pPr>
        <w:autoSpaceDE w:val="0"/>
        <w:autoSpaceDN w:val="0"/>
        <w:adjustRightInd w:val="0"/>
        <w:snapToGrid w:val="0"/>
        <w:spacing w:line="360" w:lineRule="auto"/>
        <w:ind w:firstLine="640"/>
        <w:rPr>
          <w:rFonts w:ascii="宋体" w:hAnsi="宋体" w:cs="宋体"/>
          <w:snapToGrid w:val="0"/>
          <w:kern w:val="0"/>
          <w:sz w:val="32"/>
          <w:szCs w:val="32"/>
          <w:highlight w:val="none"/>
        </w:rPr>
      </w:pPr>
      <w:bookmarkStart w:id="1110" w:name="_Toc277082647"/>
      <w:bookmarkStart w:id="1111" w:name="_Toc287620818"/>
      <w:bookmarkStart w:id="1112" w:name="_Toc430530533"/>
      <w:bookmarkStart w:id="1113" w:name="_Toc224103499"/>
      <w:bookmarkStart w:id="1114" w:name="_Toc287607871"/>
    </w:p>
    <w:p w14:paraId="733B998B">
      <w:pPr>
        <w:pStyle w:val="2"/>
        <w:rPr>
          <w:rFonts w:ascii="宋体" w:hAnsi="宋体"/>
          <w:snapToGrid w:val="0"/>
          <w:kern w:val="0"/>
          <w:sz w:val="32"/>
          <w:szCs w:val="32"/>
          <w:highlight w:val="none"/>
        </w:rPr>
      </w:pPr>
    </w:p>
    <w:p w14:paraId="5D955691">
      <w:pPr>
        <w:pStyle w:val="3"/>
        <w:rPr>
          <w:highlight w:val="none"/>
        </w:rPr>
      </w:pPr>
    </w:p>
    <w:p w14:paraId="2939FB65">
      <w:pPr>
        <w:pStyle w:val="2"/>
        <w:rPr>
          <w:rFonts w:ascii="宋体" w:hAnsi="宋体"/>
          <w:snapToGrid w:val="0"/>
          <w:kern w:val="0"/>
          <w:sz w:val="32"/>
          <w:szCs w:val="32"/>
          <w:highlight w:val="none"/>
        </w:rPr>
      </w:pPr>
    </w:p>
    <w:p w14:paraId="0F7A52A1">
      <w:pPr>
        <w:pStyle w:val="10"/>
        <w:tabs>
          <w:tab w:val="left" w:pos="315"/>
        </w:tabs>
        <w:spacing w:before="156" w:beforeLines="50" w:line="500" w:lineRule="exact"/>
        <w:ind w:firstLineChars="200"/>
        <w:rPr>
          <w:rFonts w:ascii="宋体" w:hAnsi="宋体" w:eastAsia="宋体"/>
          <w:b/>
          <w:sz w:val="21"/>
          <w:szCs w:val="21"/>
          <w:highlight w:val="none"/>
        </w:rPr>
      </w:pPr>
      <w:r>
        <w:rPr>
          <w:rFonts w:hint="eastAsia" w:ascii="宋体" w:hAnsi="宋体"/>
          <w:snapToGrid w:val="0"/>
          <w:kern w:val="0"/>
          <w:sz w:val="32"/>
          <w:szCs w:val="32"/>
          <w:highlight w:val="none"/>
        </w:rPr>
        <w:t>（</w:t>
      </w:r>
      <w:r>
        <w:rPr>
          <w:rFonts w:hint="eastAsia" w:ascii="宋体" w:hAnsi="宋体"/>
          <w:snapToGrid w:val="0"/>
          <w:kern w:val="0"/>
          <w:sz w:val="32"/>
          <w:szCs w:val="32"/>
          <w:highlight w:val="none"/>
          <w:lang w:val="en-US" w:eastAsia="zh-CN"/>
        </w:rPr>
        <w:t>四</w:t>
      </w:r>
      <w:r>
        <w:rPr>
          <w:rFonts w:hint="eastAsia" w:ascii="宋体" w:hAnsi="宋体"/>
          <w:snapToGrid w:val="0"/>
          <w:kern w:val="0"/>
          <w:sz w:val="32"/>
          <w:szCs w:val="32"/>
          <w:highlight w:val="none"/>
        </w:rPr>
        <w:t>）</w:t>
      </w:r>
      <w:bookmarkEnd w:id="1110"/>
      <w:bookmarkEnd w:id="1111"/>
      <w:bookmarkEnd w:id="1112"/>
      <w:bookmarkEnd w:id="1113"/>
      <w:bookmarkEnd w:id="1114"/>
      <w:r>
        <w:rPr>
          <w:rFonts w:hint="eastAsia" w:ascii="宋体" w:hAnsi="宋体"/>
          <w:snapToGrid w:val="0"/>
          <w:kern w:val="0"/>
          <w:sz w:val="32"/>
          <w:szCs w:val="32"/>
          <w:highlight w:val="none"/>
        </w:rPr>
        <w:t>投标保证金</w:t>
      </w:r>
      <w:r>
        <w:rPr>
          <w:rFonts w:hint="eastAsia" w:ascii="宋体" w:hAnsi="宋体"/>
          <w:b/>
          <w:bCs/>
          <w:snapToGrid w:val="0"/>
          <w:kern w:val="0"/>
          <w:sz w:val="32"/>
          <w:szCs w:val="32"/>
          <w:highlight w:val="none"/>
        </w:rPr>
        <w:t>（适用于投标保证金采用现金转账形式的）</w:t>
      </w:r>
    </w:p>
    <w:p w14:paraId="53D2FD47">
      <w:pPr>
        <w:tabs>
          <w:tab w:val="left" w:pos="2580"/>
          <w:tab w:val="left" w:pos="5940"/>
        </w:tabs>
        <w:autoSpaceDE w:val="0"/>
        <w:autoSpaceDN w:val="0"/>
        <w:adjustRightInd w:val="0"/>
        <w:snapToGrid w:val="0"/>
        <w:spacing w:line="360" w:lineRule="auto"/>
        <w:jc w:val="left"/>
        <w:rPr>
          <w:rFonts w:hint="eastAsia" w:ascii="宋体" w:hAnsi="宋体" w:cs="MingLiU"/>
          <w:b w:val="0"/>
          <w:bCs w:val="0"/>
          <w:kern w:val="0"/>
          <w:sz w:val="28"/>
          <w:szCs w:val="28"/>
          <w:highlight w:val="none"/>
        </w:rPr>
      </w:pPr>
      <w:bookmarkStart w:id="1115" w:name="_Toc224103500"/>
    </w:p>
    <w:p w14:paraId="65E338A8">
      <w:pPr>
        <w:tabs>
          <w:tab w:val="left" w:pos="2580"/>
          <w:tab w:val="left" w:pos="5940"/>
        </w:tabs>
        <w:autoSpaceDE w:val="0"/>
        <w:autoSpaceDN w:val="0"/>
        <w:adjustRightInd w:val="0"/>
        <w:snapToGrid w:val="0"/>
        <w:spacing w:line="360" w:lineRule="auto"/>
        <w:jc w:val="left"/>
        <w:rPr>
          <w:rFonts w:hint="eastAsia" w:ascii="宋体" w:hAnsi="宋体" w:cs="MingLiU"/>
          <w:b w:val="0"/>
          <w:bCs w:val="0"/>
          <w:kern w:val="0"/>
          <w:sz w:val="28"/>
          <w:szCs w:val="28"/>
          <w:highlight w:val="none"/>
        </w:rPr>
      </w:pPr>
    </w:p>
    <w:p w14:paraId="3366A126">
      <w:pPr>
        <w:tabs>
          <w:tab w:val="left" w:pos="2580"/>
          <w:tab w:val="left" w:pos="5940"/>
        </w:tabs>
        <w:autoSpaceDE w:val="0"/>
        <w:autoSpaceDN w:val="0"/>
        <w:adjustRightInd w:val="0"/>
        <w:snapToGrid w:val="0"/>
        <w:spacing w:line="360" w:lineRule="auto"/>
        <w:jc w:val="left"/>
        <w:rPr>
          <w:rFonts w:ascii="宋体" w:hAnsi="宋体"/>
          <w:b/>
          <w:bCs/>
          <w:sz w:val="44"/>
          <w:szCs w:val="44"/>
          <w:highlight w:val="none"/>
        </w:rPr>
      </w:pPr>
      <w:r>
        <w:rPr>
          <w:rFonts w:hint="eastAsia" w:ascii="宋体" w:hAnsi="宋体" w:cs="MingLiU"/>
          <w:b w:val="0"/>
          <w:bCs w:val="0"/>
          <w:kern w:val="0"/>
          <w:sz w:val="28"/>
          <w:szCs w:val="28"/>
          <w:highlight w:val="none"/>
        </w:rPr>
        <w:t>（附：企业基本账户开户许可证明文件复印件、投标保证金银行进账单复印件）</w:t>
      </w:r>
      <w:r>
        <w:rPr>
          <w:rFonts w:hint="eastAsia" w:ascii="宋体" w:hAnsi="宋体"/>
          <w:b w:val="0"/>
          <w:bCs w:val="0"/>
          <w:sz w:val="44"/>
          <w:szCs w:val="44"/>
          <w:highlight w:val="none"/>
        </w:rPr>
        <w:br w:type="page"/>
      </w:r>
      <w:bookmarkStart w:id="1116" w:name="_Toc27983322"/>
      <w:bookmarkStart w:id="1117" w:name="_Toc287607872"/>
      <w:bookmarkStart w:id="1118" w:name="_Toc430530534"/>
      <w:bookmarkStart w:id="1119" w:name="_Toc287620819"/>
      <w:r>
        <w:rPr>
          <w:rFonts w:hint="eastAsia" w:ascii="宋体" w:hAnsi="宋体"/>
          <w:b w:val="0"/>
          <w:bCs w:val="0"/>
          <w:sz w:val="44"/>
          <w:szCs w:val="44"/>
          <w:highlight w:val="none"/>
          <w:lang w:val="en-US" w:eastAsia="zh-CN"/>
        </w:rPr>
        <w:t xml:space="preserve">               </w:t>
      </w:r>
      <w:r>
        <w:rPr>
          <w:rFonts w:hint="eastAsia" w:ascii="宋体" w:hAnsi="宋体"/>
          <w:b/>
          <w:bCs/>
          <w:sz w:val="44"/>
          <w:szCs w:val="44"/>
          <w:highlight w:val="none"/>
          <w:lang w:eastAsia="zh-CN"/>
        </w:rPr>
        <w:t>二</w:t>
      </w:r>
      <w:r>
        <w:rPr>
          <w:rFonts w:hint="eastAsia" w:ascii="宋体" w:hAnsi="宋体"/>
          <w:b/>
          <w:bCs/>
          <w:sz w:val="44"/>
          <w:szCs w:val="44"/>
          <w:highlight w:val="none"/>
        </w:rPr>
        <w:t>、商务部分</w:t>
      </w:r>
      <w:bookmarkEnd w:id="1115"/>
      <w:bookmarkEnd w:id="1116"/>
      <w:bookmarkEnd w:id="1117"/>
      <w:bookmarkEnd w:id="1118"/>
      <w:bookmarkEnd w:id="1119"/>
    </w:p>
    <w:p w14:paraId="580AF48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3141630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6EF77C4">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84C3CD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323107A4">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1D85C12">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FA330B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B00065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EAA19B1">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8E4ADE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C3AB2E2">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A247DA1">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D53F2E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A79940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0253634">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EC36796">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A0A6712">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B3DCF9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068BF90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1FDD2A5">
      <w:pPr>
        <w:tabs>
          <w:tab w:val="left" w:pos="2580"/>
          <w:tab w:val="left" w:pos="5940"/>
        </w:tabs>
        <w:autoSpaceDE w:val="0"/>
        <w:autoSpaceDN w:val="0"/>
        <w:adjustRightInd w:val="0"/>
        <w:snapToGrid w:val="0"/>
        <w:spacing w:line="360" w:lineRule="auto"/>
        <w:jc w:val="left"/>
        <w:rPr>
          <w:rFonts w:ascii="宋体" w:hAnsi="宋体"/>
          <w:kern w:val="0"/>
          <w:sz w:val="28"/>
          <w:szCs w:val="28"/>
          <w:highlight w:val="none"/>
          <w:u w:val="single"/>
        </w:rPr>
      </w:pPr>
      <w:r>
        <w:rPr>
          <w:rFonts w:ascii="宋体" w:hAnsi="宋体"/>
          <w:kern w:val="0"/>
          <w:sz w:val="28"/>
          <w:szCs w:val="28"/>
          <w:highlight w:val="none"/>
          <w:u w:val="single"/>
        </w:rPr>
        <w:br w:type="page"/>
      </w:r>
    </w:p>
    <w:p w14:paraId="48865433">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r>
        <w:rPr>
          <w:rFonts w:hint="eastAsia" w:ascii="宋体" w:hAnsi="宋体"/>
          <w:w w:val="99"/>
          <w:kern w:val="0"/>
          <w:sz w:val="32"/>
          <w:szCs w:val="32"/>
          <w:highlight w:val="none"/>
        </w:rPr>
        <w:t>施工招标</w:t>
      </w:r>
    </w:p>
    <w:p w14:paraId="139AED2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717C5BF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6015D0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2A8B9CC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6A44AB2">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54EB2A2B">
      <w:pPr>
        <w:autoSpaceDE w:val="0"/>
        <w:autoSpaceDN w:val="0"/>
        <w:adjustRightInd w:val="0"/>
        <w:snapToGrid w:val="0"/>
        <w:spacing w:line="360" w:lineRule="auto"/>
        <w:jc w:val="left"/>
        <w:rPr>
          <w:rFonts w:ascii="宋体" w:hAnsi="宋体"/>
          <w:kern w:val="0"/>
          <w:sz w:val="16"/>
          <w:szCs w:val="16"/>
          <w:highlight w:val="none"/>
        </w:rPr>
      </w:pPr>
    </w:p>
    <w:p w14:paraId="2B266F20">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商务部分</w:t>
      </w:r>
    </w:p>
    <w:p w14:paraId="1D5E1FAB">
      <w:pPr>
        <w:autoSpaceDE w:val="0"/>
        <w:autoSpaceDN w:val="0"/>
        <w:adjustRightInd w:val="0"/>
        <w:snapToGrid w:val="0"/>
        <w:spacing w:line="360" w:lineRule="auto"/>
        <w:jc w:val="left"/>
        <w:rPr>
          <w:rFonts w:ascii="宋体" w:hAnsi="宋体"/>
          <w:b/>
          <w:kern w:val="0"/>
          <w:sz w:val="20"/>
          <w:szCs w:val="20"/>
          <w:highlight w:val="none"/>
        </w:rPr>
      </w:pPr>
    </w:p>
    <w:p w14:paraId="0222A8D6">
      <w:pPr>
        <w:autoSpaceDE w:val="0"/>
        <w:autoSpaceDN w:val="0"/>
        <w:adjustRightInd w:val="0"/>
        <w:snapToGrid w:val="0"/>
        <w:spacing w:line="360" w:lineRule="auto"/>
        <w:jc w:val="left"/>
        <w:rPr>
          <w:rFonts w:ascii="宋体" w:hAnsi="宋体"/>
          <w:b/>
          <w:kern w:val="0"/>
          <w:sz w:val="20"/>
          <w:szCs w:val="20"/>
          <w:highlight w:val="none"/>
        </w:rPr>
      </w:pPr>
    </w:p>
    <w:p w14:paraId="77805C39">
      <w:pPr>
        <w:autoSpaceDE w:val="0"/>
        <w:autoSpaceDN w:val="0"/>
        <w:adjustRightInd w:val="0"/>
        <w:snapToGrid w:val="0"/>
        <w:spacing w:line="360" w:lineRule="auto"/>
        <w:jc w:val="left"/>
        <w:rPr>
          <w:rFonts w:ascii="宋体" w:hAnsi="宋体"/>
          <w:b/>
          <w:kern w:val="0"/>
          <w:sz w:val="20"/>
          <w:szCs w:val="20"/>
          <w:highlight w:val="none"/>
        </w:rPr>
      </w:pPr>
    </w:p>
    <w:p w14:paraId="6C881480">
      <w:pPr>
        <w:autoSpaceDE w:val="0"/>
        <w:autoSpaceDN w:val="0"/>
        <w:adjustRightInd w:val="0"/>
        <w:snapToGrid w:val="0"/>
        <w:spacing w:line="360" w:lineRule="auto"/>
        <w:jc w:val="left"/>
        <w:rPr>
          <w:rFonts w:ascii="宋体" w:hAnsi="宋体"/>
          <w:b/>
          <w:kern w:val="0"/>
          <w:sz w:val="20"/>
          <w:szCs w:val="20"/>
          <w:highlight w:val="none"/>
        </w:rPr>
      </w:pPr>
    </w:p>
    <w:p w14:paraId="39CE83FE">
      <w:pPr>
        <w:autoSpaceDE w:val="0"/>
        <w:autoSpaceDN w:val="0"/>
        <w:adjustRightInd w:val="0"/>
        <w:snapToGrid w:val="0"/>
        <w:spacing w:line="360" w:lineRule="auto"/>
        <w:jc w:val="left"/>
        <w:rPr>
          <w:rFonts w:ascii="宋体" w:hAnsi="宋体"/>
          <w:b/>
          <w:kern w:val="0"/>
          <w:sz w:val="20"/>
          <w:szCs w:val="20"/>
          <w:highlight w:val="none"/>
        </w:rPr>
      </w:pPr>
    </w:p>
    <w:p w14:paraId="13B0BE08">
      <w:pPr>
        <w:autoSpaceDE w:val="0"/>
        <w:autoSpaceDN w:val="0"/>
        <w:adjustRightInd w:val="0"/>
        <w:snapToGrid w:val="0"/>
        <w:spacing w:line="360" w:lineRule="auto"/>
        <w:jc w:val="left"/>
        <w:rPr>
          <w:rFonts w:ascii="宋体" w:hAnsi="宋体"/>
          <w:b/>
          <w:kern w:val="0"/>
          <w:sz w:val="20"/>
          <w:szCs w:val="20"/>
          <w:highlight w:val="none"/>
        </w:rPr>
      </w:pPr>
    </w:p>
    <w:p w14:paraId="062E0645">
      <w:pPr>
        <w:autoSpaceDE w:val="0"/>
        <w:autoSpaceDN w:val="0"/>
        <w:adjustRightInd w:val="0"/>
        <w:snapToGrid w:val="0"/>
        <w:spacing w:line="360" w:lineRule="auto"/>
        <w:jc w:val="left"/>
        <w:rPr>
          <w:rFonts w:ascii="宋体" w:hAnsi="宋体"/>
          <w:b/>
          <w:kern w:val="0"/>
          <w:sz w:val="20"/>
          <w:szCs w:val="20"/>
          <w:highlight w:val="none"/>
        </w:rPr>
      </w:pPr>
    </w:p>
    <w:p w14:paraId="290C3753">
      <w:pPr>
        <w:autoSpaceDE w:val="0"/>
        <w:autoSpaceDN w:val="0"/>
        <w:adjustRightInd w:val="0"/>
        <w:snapToGrid w:val="0"/>
        <w:spacing w:line="360" w:lineRule="auto"/>
        <w:jc w:val="left"/>
        <w:rPr>
          <w:rFonts w:ascii="宋体" w:hAnsi="宋体"/>
          <w:b/>
          <w:kern w:val="0"/>
          <w:sz w:val="20"/>
          <w:szCs w:val="20"/>
          <w:highlight w:val="none"/>
        </w:rPr>
      </w:pPr>
    </w:p>
    <w:p w14:paraId="226DCD7F">
      <w:pPr>
        <w:autoSpaceDE w:val="0"/>
        <w:autoSpaceDN w:val="0"/>
        <w:adjustRightInd w:val="0"/>
        <w:snapToGrid w:val="0"/>
        <w:spacing w:line="360" w:lineRule="auto"/>
        <w:jc w:val="left"/>
        <w:rPr>
          <w:rFonts w:ascii="宋体" w:hAnsi="宋体"/>
          <w:b/>
          <w:kern w:val="0"/>
          <w:sz w:val="20"/>
          <w:szCs w:val="20"/>
          <w:highlight w:val="none"/>
        </w:rPr>
      </w:pPr>
    </w:p>
    <w:p w14:paraId="06248876">
      <w:pPr>
        <w:autoSpaceDE w:val="0"/>
        <w:autoSpaceDN w:val="0"/>
        <w:adjustRightInd w:val="0"/>
        <w:snapToGrid w:val="0"/>
        <w:spacing w:line="360" w:lineRule="auto"/>
        <w:jc w:val="left"/>
        <w:rPr>
          <w:rFonts w:ascii="宋体" w:hAnsi="宋体"/>
          <w:b/>
          <w:kern w:val="0"/>
          <w:sz w:val="20"/>
          <w:szCs w:val="20"/>
          <w:highlight w:val="none"/>
        </w:rPr>
      </w:pPr>
    </w:p>
    <w:p w14:paraId="533A000F">
      <w:pPr>
        <w:autoSpaceDE w:val="0"/>
        <w:autoSpaceDN w:val="0"/>
        <w:adjustRightInd w:val="0"/>
        <w:snapToGrid w:val="0"/>
        <w:spacing w:line="360" w:lineRule="auto"/>
        <w:jc w:val="left"/>
        <w:rPr>
          <w:rFonts w:ascii="宋体" w:hAnsi="宋体"/>
          <w:b/>
          <w:kern w:val="0"/>
          <w:sz w:val="20"/>
          <w:szCs w:val="20"/>
          <w:highlight w:val="none"/>
        </w:rPr>
      </w:pPr>
    </w:p>
    <w:p w14:paraId="3303A9A0">
      <w:pPr>
        <w:autoSpaceDE w:val="0"/>
        <w:autoSpaceDN w:val="0"/>
        <w:adjustRightInd w:val="0"/>
        <w:snapToGrid w:val="0"/>
        <w:spacing w:line="360" w:lineRule="auto"/>
        <w:jc w:val="left"/>
        <w:rPr>
          <w:rFonts w:ascii="宋体" w:hAnsi="宋体"/>
          <w:b/>
          <w:kern w:val="0"/>
          <w:sz w:val="20"/>
          <w:szCs w:val="20"/>
          <w:highlight w:val="none"/>
        </w:rPr>
      </w:pPr>
    </w:p>
    <w:p w14:paraId="7705C35D">
      <w:pPr>
        <w:autoSpaceDE w:val="0"/>
        <w:autoSpaceDN w:val="0"/>
        <w:adjustRightInd w:val="0"/>
        <w:snapToGrid w:val="0"/>
        <w:spacing w:line="360" w:lineRule="auto"/>
        <w:jc w:val="left"/>
        <w:rPr>
          <w:rFonts w:ascii="宋体" w:hAnsi="宋体"/>
          <w:b/>
          <w:kern w:val="0"/>
          <w:sz w:val="20"/>
          <w:szCs w:val="20"/>
          <w:highlight w:val="none"/>
        </w:rPr>
      </w:pPr>
    </w:p>
    <w:p w14:paraId="3705FE6D">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241EFBE2">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61FDDFA4">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14:paraId="554F71BC">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14:paraId="1B26D607">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14:paraId="06C20A9A">
      <w:pPr>
        <w:autoSpaceDE w:val="0"/>
        <w:autoSpaceDN w:val="0"/>
        <w:adjustRightInd w:val="0"/>
        <w:snapToGrid w:val="0"/>
        <w:spacing w:line="360" w:lineRule="auto"/>
        <w:jc w:val="left"/>
        <w:rPr>
          <w:rFonts w:ascii="宋体" w:hAnsi="宋体"/>
          <w:kern w:val="0"/>
          <w:szCs w:val="21"/>
          <w:highlight w:val="none"/>
        </w:rPr>
      </w:pPr>
    </w:p>
    <w:p w14:paraId="003BF7BC">
      <w:pPr>
        <w:autoSpaceDE w:val="0"/>
        <w:autoSpaceDN w:val="0"/>
        <w:adjustRightInd w:val="0"/>
        <w:snapToGrid w:val="0"/>
        <w:spacing w:line="360" w:lineRule="auto"/>
        <w:ind w:firstLine="3570" w:firstLineChars="1700"/>
        <w:jc w:val="left"/>
        <w:rPr>
          <w:rFonts w:ascii="宋体" w:hAnsi="宋体"/>
          <w:kern w:val="0"/>
          <w:szCs w:val="21"/>
          <w:highlight w:val="none"/>
        </w:rPr>
      </w:pPr>
      <w:r>
        <w:rPr>
          <w:rFonts w:ascii="宋体" w:hAnsi="宋体"/>
          <w:kern w:val="0"/>
          <w:szCs w:val="21"/>
          <w:highlight w:val="none"/>
        </w:rPr>
        <w:t>[目录由投标人自行编制]</w:t>
      </w:r>
    </w:p>
    <w:p w14:paraId="7FD863C8">
      <w:pPr>
        <w:autoSpaceDE w:val="0"/>
        <w:autoSpaceDN w:val="0"/>
        <w:adjustRightInd w:val="0"/>
        <w:snapToGrid w:val="0"/>
        <w:spacing w:line="360" w:lineRule="auto"/>
        <w:jc w:val="left"/>
        <w:rPr>
          <w:rFonts w:ascii="宋体" w:hAnsi="宋体"/>
          <w:kern w:val="0"/>
          <w:szCs w:val="21"/>
          <w:highlight w:val="none"/>
        </w:rPr>
      </w:pPr>
    </w:p>
    <w:p w14:paraId="287764D0">
      <w:pPr>
        <w:autoSpaceDE w:val="0"/>
        <w:autoSpaceDN w:val="0"/>
        <w:adjustRightInd w:val="0"/>
        <w:snapToGrid w:val="0"/>
        <w:spacing w:line="360" w:lineRule="auto"/>
        <w:jc w:val="left"/>
        <w:rPr>
          <w:rFonts w:ascii="宋体" w:hAnsi="宋体"/>
          <w:kern w:val="0"/>
          <w:szCs w:val="21"/>
          <w:highlight w:val="none"/>
        </w:rPr>
      </w:pPr>
    </w:p>
    <w:p w14:paraId="17F02C79">
      <w:pPr>
        <w:autoSpaceDE w:val="0"/>
        <w:autoSpaceDN w:val="0"/>
        <w:adjustRightInd w:val="0"/>
        <w:snapToGrid w:val="0"/>
        <w:spacing w:line="360" w:lineRule="auto"/>
        <w:jc w:val="left"/>
        <w:rPr>
          <w:rFonts w:ascii="宋体" w:hAnsi="宋体"/>
          <w:kern w:val="0"/>
          <w:szCs w:val="21"/>
          <w:highlight w:val="none"/>
        </w:rPr>
      </w:pPr>
    </w:p>
    <w:p w14:paraId="3697E2E3">
      <w:pPr>
        <w:autoSpaceDE w:val="0"/>
        <w:autoSpaceDN w:val="0"/>
        <w:adjustRightInd w:val="0"/>
        <w:snapToGrid w:val="0"/>
        <w:spacing w:line="360" w:lineRule="auto"/>
        <w:jc w:val="left"/>
        <w:rPr>
          <w:rFonts w:ascii="宋体" w:hAnsi="宋体"/>
          <w:kern w:val="0"/>
          <w:szCs w:val="21"/>
          <w:highlight w:val="none"/>
        </w:rPr>
      </w:pPr>
    </w:p>
    <w:p w14:paraId="2BDBE3A9">
      <w:pPr>
        <w:autoSpaceDE w:val="0"/>
        <w:autoSpaceDN w:val="0"/>
        <w:adjustRightInd w:val="0"/>
        <w:snapToGrid w:val="0"/>
        <w:spacing w:line="360" w:lineRule="auto"/>
        <w:jc w:val="left"/>
        <w:rPr>
          <w:rFonts w:ascii="宋体" w:hAnsi="宋体"/>
          <w:kern w:val="0"/>
          <w:highlight w:val="none"/>
        </w:rPr>
      </w:pPr>
    </w:p>
    <w:p w14:paraId="177C70B3">
      <w:pPr>
        <w:autoSpaceDE w:val="0"/>
        <w:autoSpaceDN w:val="0"/>
        <w:adjustRightInd w:val="0"/>
        <w:snapToGrid w:val="0"/>
        <w:spacing w:line="360" w:lineRule="auto"/>
        <w:jc w:val="left"/>
        <w:rPr>
          <w:rFonts w:ascii="宋体" w:hAnsi="宋体"/>
          <w:kern w:val="0"/>
          <w:highlight w:val="none"/>
        </w:rPr>
      </w:pPr>
    </w:p>
    <w:p w14:paraId="512E471E">
      <w:pPr>
        <w:autoSpaceDE w:val="0"/>
        <w:autoSpaceDN w:val="0"/>
        <w:adjustRightInd w:val="0"/>
        <w:snapToGrid w:val="0"/>
        <w:spacing w:line="360" w:lineRule="auto"/>
        <w:jc w:val="left"/>
        <w:rPr>
          <w:rFonts w:ascii="宋体" w:hAnsi="宋体"/>
          <w:kern w:val="0"/>
          <w:highlight w:val="none"/>
        </w:rPr>
      </w:pPr>
    </w:p>
    <w:p w14:paraId="31D7669B">
      <w:pPr>
        <w:autoSpaceDE w:val="0"/>
        <w:autoSpaceDN w:val="0"/>
        <w:adjustRightInd w:val="0"/>
        <w:snapToGrid w:val="0"/>
        <w:spacing w:line="360" w:lineRule="auto"/>
        <w:jc w:val="left"/>
        <w:rPr>
          <w:rFonts w:ascii="宋体" w:hAnsi="宋体"/>
          <w:kern w:val="0"/>
          <w:highlight w:val="none"/>
        </w:rPr>
      </w:pPr>
    </w:p>
    <w:p w14:paraId="22F774FB">
      <w:pPr>
        <w:autoSpaceDE w:val="0"/>
        <w:autoSpaceDN w:val="0"/>
        <w:adjustRightInd w:val="0"/>
        <w:snapToGrid w:val="0"/>
        <w:spacing w:line="360" w:lineRule="auto"/>
        <w:jc w:val="left"/>
        <w:rPr>
          <w:rFonts w:ascii="宋体" w:hAnsi="宋体"/>
          <w:kern w:val="0"/>
          <w:highlight w:val="none"/>
        </w:rPr>
      </w:pPr>
    </w:p>
    <w:p w14:paraId="3EFD7823">
      <w:pPr>
        <w:autoSpaceDE w:val="0"/>
        <w:autoSpaceDN w:val="0"/>
        <w:adjustRightInd w:val="0"/>
        <w:snapToGrid w:val="0"/>
        <w:spacing w:line="360" w:lineRule="auto"/>
        <w:jc w:val="left"/>
        <w:rPr>
          <w:rFonts w:ascii="宋体" w:hAnsi="宋体"/>
          <w:kern w:val="0"/>
          <w:highlight w:val="none"/>
        </w:rPr>
      </w:pPr>
    </w:p>
    <w:p w14:paraId="088CCE23">
      <w:pPr>
        <w:autoSpaceDE w:val="0"/>
        <w:autoSpaceDN w:val="0"/>
        <w:adjustRightInd w:val="0"/>
        <w:snapToGrid w:val="0"/>
        <w:spacing w:line="360" w:lineRule="auto"/>
        <w:jc w:val="left"/>
        <w:rPr>
          <w:rFonts w:ascii="宋体" w:hAnsi="宋体"/>
          <w:kern w:val="0"/>
          <w:highlight w:val="none"/>
        </w:rPr>
      </w:pPr>
    </w:p>
    <w:p w14:paraId="36EFA8A0">
      <w:pPr>
        <w:autoSpaceDE w:val="0"/>
        <w:autoSpaceDN w:val="0"/>
        <w:adjustRightInd w:val="0"/>
        <w:snapToGrid w:val="0"/>
        <w:spacing w:line="360" w:lineRule="auto"/>
        <w:jc w:val="left"/>
        <w:rPr>
          <w:rFonts w:ascii="宋体" w:hAnsi="宋体"/>
          <w:kern w:val="0"/>
          <w:highlight w:val="none"/>
        </w:rPr>
      </w:pPr>
    </w:p>
    <w:p w14:paraId="2C5B4732">
      <w:pPr>
        <w:autoSpaceDE w:val="0"/>
        <w:autoSpaceDN w:val="0"/>
        <w:adjustRightInd w:val="0"/>
        <w:snapToGrid w:val="0"/>
        <w:spacing w:line="360" w:lineRule="auto"/>
        <w:jc w:val="left"/>
        <w:rPr>
          <w:rFonts w:ascii="宋体" w:hAnsi="宋体"/>
          <w:w w:val="99"/>
          <w:kern w:val="0"/>
          <w:sz w:val="28"/>
          <w:szCs w:val="28"/>
          <w:highlight w:val="none"/>
        </w:rPr>
      </w:pPr>
    </w:p>
    <w:p w14:paraId="42AB06DA">
      <w:pPr>
        <w:autoSpaceDE w:val="0"/>
        <w:autoSpaceDN w:val="0"/>
        <w:adjustRightInd w:val="0"/>
        <w:snapToGrid w:val="0"/>
        <w:spacing w:line="360" w:lineRule="auto"/>
        <w:jc w:val="left"/>
        <w:rPr>
          <w:rFonts w:ascii="宋体" w:hAnsi="宋体"/>
          <w:w w:val="99"/>
          <w:kern w:val="0"/>
          <w:sz w:val="28"/>
          <w:szCs w:val="28"/>
          <w:highlight w:val="none"/>
        </w:rPr>
      </w:pPr>
    </w:p>
    <w:p w14:paraId="6483D9FB">
      <w:pPr>
        <w:autoSpaceDE w:val="0"/>
        <w:autoSpaceDN w:val="0"/>
        <w:adjustRightInd w:val="0"/>
        <w:snapToGrid w:val="0"/>
        <w:spacing w:line="360" w:lineRule="auto"/>
        <w:jc w:val="left"/>
        <w:rPr>
          <w:rFonts w:ascii="宋体" w:hAnsi="宋体"/>
          <w:w w:val="99"/>
          <w:kern w:val="0"/>
          <w:sz w:val="28"/>
          <w:szCs w:val="28"/>
          <w:highlight w:val="none"/>
        </w:rPr>
      </w:pPr>
    </w:p>
    <w:p w14:paraId="58059E3B">
      <w:pPr>
        <w:autoSpaceDE w:val="0"/>
        <w:autoSpaceDN w:val="0"/>
        <w:adjustRightInd w:val="0"/>
        <w:snapToGrid w:val="0"/>
        <w:spacing w:line="360" w:lineRule="auto"/>
        <w:jc w:val="left"/>
        <w:rPr>
          <w:rFonts w:ascii="宋体" w:hAnsi="宋体"/>
          <w:w w:val="99"/>
          <w:kern w:val="0"/>
          <w:sz w:val="28"/>
          <w:szCs w:val="28"/>
          <w:highlight w:val="none"/>
        </w:rPr>
      </w:pPr>
    </w:p>
    <w:p w14:paraId="4DB4B36C">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bookmarkStart w:id="1120" w:name="_Toc277082648"/>
      <w:bookmarkStart w:id="1121" w:name="_Toc224103501"/>
      <w:bookmarkStart w:id="1122" w:name="_Toc287607873"/>
      <w:bookmarkStart w:id="1123" w:name="_Toc430530535"/>
      <w:bookmarkStart w:id="1124" w:name="_Toc287620820"/>
    </w:p>
    <w:p w14:paraId="574291FF">
      <w:pPr>
        <w:jc w:val="center"/>
        <w:rPr>
          <w:rFonts w:ascii="宋体" w:hAnsi="宋体"/>
          <w:sz w:val="32"/>
          <w:szCs w:val="32"/>
          <w:highlight w:val="none"/>
        </w:rPr>
      </w:pPr>
      <w:r>
        <w:rPr>
          <w:rFonts w:hint="eastAsia" w:ascii="宋体" w:hAnsi="宋体"/>
          <w:sz w:val="32"/>
          <w:szCs w:val="32"/>
          <w:highlight w:val="none"/>
        </w:rPr>
        <w:t>已标价工程量清单</w:t>
      </w:r>
      <w:bookmarkEnd w:id="1120"/>
      <w:bookmarkEnd w:id="1121"/>
      <w:bookmarkEnd w:id="1122"/>
      <w:bookmarkEnd w:id="1123"/>
      <w:bookmarkEnd w:id="1124"/>
    </w:p>
    <w:p w14:paraId="1462D95A">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A564818">
      <w:pPr>
        <w:autoSpaceDE w:val="0"/>
        <w:autoSpaceDN w:val="0"/>
        <w:adjustRightInd w:val="0"/>
        <w:snapToGrid w:val="0"/>
        <w:spacing w:line="360" w:lineRule="auto"/>
        <w:jc w:val="left"/>
        <w:rPr>
          <w:rFonts w:ascii="宋体" w:hAnsi="宋体"/>
          <w:b/>
          <w:bCs/>
          <w:sz w:val="44"/>
          <w:szCs w:val="44"/>
          <w:highlight w:val="none"/>
        </w:rPr>
      </w:pPr>
      <w:bookmarkStart w:id="1125" w:name="_Toc224103502"/>
      <w:bookmarkStart w:id="1126" w:name="_Toc287607874"/>
      <w:bookmarkStart w:id="1127" w:name="_Toc430530536"/>
      <w:bookmarkStart w:id="1128" w:name="_Toc287620821"/>
      <w:r>
        <w:rPr>
          <w:rFonts w:ascii="宋体" w:hAnsi="宋体"/>
          <w:highlight w:val="none"/>
        </w:rPr>
        <w:br w:type="page"/>
      </w:r>
      <w:bookmarkEnd w:id="1125"/>
      <w:bookmarkEnd w:id="1126"/>
      <w:bookmarkEnd w:id="1127"/>
      <w:bookmarkEnd w:id="1128"/>
      <w:bookmarkStart w:id="1129" w:name="_Toc224103510"/>
      <w:bookmarkStart w:id="1130" w:name="_Toc287607882"/>
      <w:bookmarkStart w:id="1131" w:name="_Toc277082656"/>
      <w:bookmarkStart w:id="1132" w:name="_Toc430530545"/>
      <w:bookmarkStart w:id="1133" w:name="_Toc287620829"/>
      <w:bookmarkStart w:id="1134" w:name="_Toc27983324"/>
      <w:r>
        <w:rPr>
          <w:rFonts w:hint="eastAsia" w:ascii="宋体" w:hAnsi="宋体"/>
          <w:highlight w:val="none"/>
          <w:lang w:val="en-US" w:eastAsia="zh-CN"/>
        </w:rPr>
        <w:t xml:space="preserve">                          </w:t>
      </w:r>
      <w:r>
        <w:rPr>
          <w:rFonts w:hint="eastAsia" w:ascii="宋体" w:hAnsi="宋体"/>
          <w:b w:val="0"/>
          <w:bCs w:val="0"/>
          <w:sz w:val="44"/>
          <w:szCs w:val="44"/>
          <w:highlight w:val="none"/>
          <w:lang w:val="en-US" w:eastAsia="zh-CN"/>
        </w:rPr>
        <w:t>三</w:t>
      </w:r>
      <w:r>
        <w:rPr>
          <w:rFonts w:hint="eastAsia" w:ascii="宋体" w:hAnsi="宋体"/>
          <w:b/>
          <w:bCs/>
          <w:sz w:val="44"/>
          <w:szCs w:val="44"/>
          <w:highlight w:val="none"/>
        </w:rPr>
        <w:t>、</w:t>
      </w:r>
      <w:bookmarkEnd w:id="1129"/>
      <w:bookmarkEnd w:id="1130"/>
      <w:bookmarkEnd w:id="1131"/>
      <w:bookmarkEnd w:id="1132"/>
      <w:bookmarkEnd w:id="1133"/>
      <w:r>
        <w:rPr>
          <w:rFonts w:hint="eastAsia" w:ascii="宋体" w:hAnsi="宋体"/>
          <w:b/>
          <w:bCs/>
          <w:sz w:val="44"/>
          <w:szCs w:val="44"/>
          <w:highlight w:val="none"/>
        </w:rPr>
        <w:t>资格审查部分</w:t>
      </w:r>
      <w:bookmarkEnd w:id="1134"/>
    </w:p>
    <w:p w14:paraId="15284014">
      <w:pPr>
        <w:adjustRightInd w:val="0"/>
        <w:snapToGrid w:val="0"/>
        <w:spacing w:line="360" w:lineRule="auto"/>
        <w:rPr>
          <w:rFonts w:ascii="宋体" w:hAnsi="宋体"/>
          <w:sz w:val="32"/>
          <w:szCs w:val="32"/>
          <w:highlight w:val="none"/>
        </w:rPr>
      </w:pPr>
    </w:p>
    <w:p w14:paraId="3E42E66E">
      <w:pPr>
        <w:adjustRightInd w:val="0"/>
        <w:snapToGrid w:val="0"/>
        <w:spacing w:line="360" w:lineRule="auto"/>
        <w:rPr>
          <w:rFonts w:ascii="宋体" w:hAnsi="宋体"/>
          <w:sz w:val="32"/>
          <w:szCs w:val="32"/>
          <w:highlight w:val="none"/>
        </w:rPr>
      </w:pPr>
    </w:p>
    <w:p w14:paraId="3B48406E">
      <w:pPr>
        <w:spacing w:line="360" w:lineRule="auto"/>
        <w:rPr>
          <w:rFonts w:ascii="宋体" w:hAnsi="宋体"/>
          <w:sz w:val="32"/>
          <w:szCs w:val="32"/>
          <w:highlight w:val="none"/>
        </w:rPr>
      </w:pPr>
    </w:p>
    <w:p w14:paraId="43372807">
      <w:pPr>
        <w:spacing w:line="360" w:lineRule="auto"/>
        <w:rPr>
          <w:rFonts w:ascii="宋体" w:hAnsi="宋体"/>
          <w:sz w:val="32"/>
          <w:szCs w:val="32"/>
          <w:highlight w:val="none"/>
        </w:rPr>
      </w:pPr>
    </w:p>
    <w:p w14:paraId="24133DFD">
      <w:pPr>
        <w:spacing w:line="360" w:lineRule="auto"/>
        <w:rPr>
          <w:rFonts w:ascii="宋体" w:hAnsi="宋体"/>
          <w:sz w:val="32"/>
          <w:szCs w:val="32"/>
          <w:highlight w:val="none"/>
        </w:rPr>
      </w:pPr>
    </w:p>
    <w:p w14:paraId="21A94442">
      <w:pPr>
        <w:spacing w:line="360" w:lineRule="auto"/>
        <w:rPr>
          <w:rFonts w:ascii="宋体" w:hAnsi="宋体"/>
          <w:sz w:val="32"/>
          <w:szCs w:val="32"/>
          <w:highlight w:val="none"/>
        </w:rPr>
      </w:pPr>
    </w:p>
    <w:p w14:paraId="50185406">
      <w:pPr>
        <w:spacing w:line="360" w:lineRule="auto"/>
        <w:rPr>
          <w:rFonts w:ascii="宋体" w:hAnsi="宋体"/>
          <w:sz w:val="32"/>
          <w:szCs w:val="32"/>
          <w:highlight w:val="none"/>
        </w:rPr>
      </w:pPr>
    </w:p>
    <w:p w14:paraId="0EF46485">
      <w:pPr>
        <w:spacing w:line="360" w:lineRule="auto"/>
        <w:rPr>
          <w:rFonts w:ascii="宋体" w:hAnsi="宋体"/>
          <w:sz w:val="32"/>
          <w:szCs w:val="32"/>
          <w:highlight w:val="none"/>
        </w:rPr>
      </w:pPr>
    </w:p>
    <w:p w14:paraId="7A00372D">
      <w:pPr>
        <w:spacing w:line="360" w:lineRule="auto"/>
        <w:rPr>
          <w:rFonts w:ascii="宋体" w:hAnsi="宋体"/>
          <w:sz w:val="32"/>
          <w:szCs w:val="32"/>
          <w:highlight w:val="none"/>
        </w:rPr>
      </w:pPr>
    </w:p>
    <w:p w14:paraId="14C6B29A">
      <w:pPr>
        <w:spacing w:line="360" w:lineRule="auto"/>
        <w:rPr>
          <w:rFonts w:ascii="宋体" w:hAnsi="宋体"/>
          <w:sz w:val="32"/>
          <w:szCs w:val="32"/>
          <w:highlight w:val="none"/>
        </w:rPr>
      </w:pPr>
    </w:p>
    <w:p w14:paraId="60776C1B">
      <w:pPr>
        <w:spacing w:line="360" w:lineRule="auto"/>
        <w:rPr>
          <w:rFonts w:ascii="宋体" w:hAnsi="宋体"/>
          <w:sz w:val="32"/>
          <w:szCs w:val="32"/>
          <w:highlight w:val="none"/>
        </w:rPr>
      </w:pPr>
    </w:p>
    <w:p w14:paraId="0279BA31">
      <w:pPr>
        <w:spacing w:line="360" w:lineRule="auto"/>
        <w:rPr>
          <w:rFonts w:ascii="宋体" w:hAnsi="宋体"/>
          <w:sz w:val="32"/>
          <w:szCs w:val="32"/>
          <w:highlight w:val="none"/>
        </w:rPr>
      </w:pPr>
    </w:p>
    <w:p w14:paraId="257ED84C">
      <w:pPr>
        <w:spacing w:line="360" w:lineRule="auto"/>
        <w:rPr>
          <w:rFonts w:ascii="宋体" w:hAnsi="宋体"/>
          <w:sz w:val="32"/>
          <w:szCs w:val="32"/>
          <w:highlight w:val="none"/>
        </w:rPr>
      </w:pPr>
    </w:p>
    <w:p w14:paraId="3653AF60">
      <w:pPr>
        <w:spacing w:line="360" w:lineRule="auto"/>
        <w:rPr>
          <w:rFonts w:ascii="宋体" w:hAnsi="宋体"/>
          <w:sz w:val="32"/>
          <w:szCs w:val="32"/>
          <w:highlight w:val="none"/>
        </w:rPr>
      </w:pPr>
    </w:p>
    <w:p w14:paraId="3D8F17E6">
      <w:pPr>
        <w:spacing w:line="360" w:lineRule="auto"/>
        <w:rPr>
          <w:rFonts w:ascii="宋体" w:hAnsi="宋体"/>
          <w:sz w:val="32"/>
          <w:szCs w:val="32"/>
          <w:highlight w:val="none"/>
        </w:rPr>
      </w:pPr>
    </w:p>
    <w:p w14:paraId="754A7146">
      <w:pPr>
        <w:spacing w:line="360" w:lineRule="auto"/>
        <w:rPr>
          <w:rFonts w:ascii="宋体" w:hAnsi="宋体"/>
          <w:sz w:val="32"/>
          <w:szCs w:val="32"/>
          <w:highlight w:val="none"/>
        </w:rPr>
      </w:pPr>
      <w:r>
        <w:rPr>
          <w:rFonts w:ascii="宋体" w:hAnsi="宋体"/>
          <w:sz w:val="32"/>
          <w:szCs w:val="32"/>
          <w:highlight w:val="none"/>
        </w:rPr>
        <w:br w:type="page"/>
      </w:r>
    </w:p>
    <w:p w14:paraId="023CDF77">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r>
        <w:rPr>
          <w:rFonts w:hint="eastAsia" w:ascii="宋体" w:hAnsi="宋体"/>
          <w:w w:val="99"/>
          <w:kern w:val="0"/>
          <w:sz w:val="32"/>
          <w:szCs w:val="32"/>
          <w:highlight w:val="none"/>
        </w:rPr>
        <w:t>施工招标</w:t>
      </w:r>
    </w:p>
    <w:p w14:paraId="68A1745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4375CEF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3A9DC4C5">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0AABDCCA">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7B6A298B">
      <w:pPr>
        <w:autoSpaceDE w:val="0"/>
        <w:autoSpaceDN w:val="0"/>
        <w:adjustRightInd w:val="0"/>
        <w:snapToGrid w:val="0"/>
        <w:spacing w:line="360" w:lineRule="auto"/>
        <w:jc w:val="left"/>
        <w:rPr>
          <w:rFonts w:ascii="宋体" w:hAnsi="宋体"/>
          <w:kern w:val="0"/>
          <w:sz w:val="16"/>
          <w:szCs w:val="16"/>
          <w:highlight w:val="none"/>
        </w:rPr>
      </w:pPr>
    </w:p>
    <w:p w14:paraId="295FEE32">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49828E10">
      <w:pPr>
        <w:autoSpaceDE w:val="0"/>
        <w:autoSpaceDN w:val="0"/>
        <w:adjustRightInd w:val="0"/>
        <w:snapToGrid w:val="0"/>
        <w:spacing w:line="360" w:lineRule="auto"/>
        <w:jc w:val="left"/>
        <w:rPr>
          <w:rFonts w:ascii="宋体" w:hAnsi="宋体" w:cs="MingLiU"/>
          <w:kern w:val="0"/>
          <w:sz w:val="20"/>
          <w:szCs w:val="20"/>
          <w:highlight w:val="none"/>
        </w:rPr>
      </w:pPr>
    </w:p>
    <w:p w14:paraId="49E98A74">
      <w:pPr>
        <w:adjustRightInd w:val="0"/>
        <w:snapToGrid w:val="0"/>
        <w:spacing w:line="264" w:lineRule="auto"/>
        <w:rPr>
          <w:rFonts w:ascii="宋体" w:hAnsi="宋体"/>
          <w:szCs w:val="21"/>
          <w:highlight w:val="none"/>
        </w:rPr>
      </w:pPr>
    </w:p>
    <w:p w14:paraId="3257F158">
      <w:pPr>
        <w:autoSpaceDE w:val="0"/>
        <w:autoSpaceDN w:val="0"/>
        <w:adjustRightInd w:val="0"/>
        <w:snapToGrid w:val="0"/>
        <w:spacing w:line="360" w:lineRule="auto"/>
        <w:jc w:val="left"/>
        <w:rPr>
          <w:rFonts w:ascii="宋体" w:hAnsi="宋体" w:cs="MingLiU"/>
          <w:kern w:val="0"/>
          <w:sz w:val="20"/>
          <w:szCs w:val="20"/>
          <w:highlight w:val="none"/>
        </w:rPr>
      </w:pPr>
    </w:p>
    <w:p w14:paraId="5B891907">
      <w:pPr>
        <w:autoSpaceDE w:val="0"/>
        <w:autoSpaceDN w:val="0"/>
        <w:adjustRightInd w:val="0"/>
        <w:snapToGrid w:val="0"/>
        <w:spacing w:line="360" w:lineRule="auto"/>
        <w:jc w:val="left"/>
        <w:rPr>
          <w:rFonts w:ascii="宋体" w:hAnsi="宋体" w:cs="MingLiU"/>
          <w:kern w:val="0"/>
          <w:sz w:val="20"/>
          <w:szCs w:val="20"/>
          <w:highlight w:val="none"/>
        </w:rPr>
      </w:pPr>
    </w:p>
    <w:p w14:paraId="1B539586">
      <w:pPr>
        <w:autoSpaceDE w:val="0"/>
        <w:autoSpaceDN w:val="0"/>
        <w:adjustRightInd w:val="0"/>
        <w:snapToGrid w:val="0"/>
        <w:spacing w:line="360" w:lineRule="auto"/>
        <w:jc w:val="left"/>
        <w:rPr>
          <w:rFonts w:ascii="宋体" w:hAnsi="宋体" w:cs="MingLiU"/>
          <w:kern w:val="0"/>
          <w:sz w:val="20"/>
          <w:szCs w:val="20"/>
          <w:highlight w:val="none"/>
        </w:rPr>
      </w:pPr>
    </w:p>
    <w:p w14:paraId="5633F745">
      <w:pPr>
        <w:autoSpaceDE w:val="0"/>
        <w:autoSpaceDN w:val="0"/>
        <w:adjustRightInd w:val="0"/>
        <w:snapToGrid w:val="0"/>
        <w:spacing w:line="360" w:lineRule="auto"/>
        <w:jc w:val="left"/>
        <w:rPr>
          <w:rFonts w:ascii="宋体" w:hAnsi="宋体" w:cs="MingLiU"/>
          <w:kern w:val="0"/>
          <w:sz w:val="20"/>
          <w:szCs w:val="20"/>
          <w:highlight w:val="none"/>
        </w:rPr>
      </w:pPr>
    </w:p>
    <w:p w14:paraId="4CE8238E">
      <w:pPr>
        <w:autoSpaceDE w:val="0"/>
        <w:autoSpaceDN w:val="0"/>
        <w:adjustRightInd w:val="0"/>
        <w:snapToGrid w:val="0"/>
        <w:spacing w:line="360" w:lineRule="auto"/>
        <w:jc w:val="left"/>
        <w:rPr>
          <w:rFonts w:ascii="宋体" w:hAnsi="宋体" w:cs="MingLiU"/>
          <w:kern w:val="0"/>
          <w:sz w:val="20"/>
          <w:szCs w:val="20"/>
          <w:highlight w:val="none"/>
        </w:rPr>
      </w:pPr>
    </w:p>
    <w:p w14:paraId="47BAFAC3">
      <w:pPr>
        <w:autoSpaceDE w:val="0"/>
        <w:autoSpaceDN w:val="0"/>
        <w:adjustRightInd w:val="0"/>
        <w:snapToGrid w:val="0"/>
        <w:spacing w:line="360" w:lineRule="auto"/>
        <w:jc w:val="left"/>
        <w:rPr>
          <w:rFonts w:ascii="宋体" w:hAnsi="宋体" w:cs="MingLiU"/>
          <w:kern w:val="0"/>
          <w:sz w:val="20"/>
          <w:szCs w:val="20"/>
          <w:highlight w:val="none"/>
        </w:rPr>
      </w:pPr>
    </w:p>
    <w:p w14:paraId="0994261E">
      <w:pPr>
        <w:autoSpaceDE w:val="0"/>
        <w:autoSpaceDN w:val="0"/>
        <w:adjustRightInd w:val="0"/>
        <w:snapToGrid w:val="0"/>
        <w:spacing w:line="360" w:lineRule="auto"/>
        <w:jc w:val="left"/>
        <w:rPr>
          <w:rFonts w:ascii="宋体" w:hAnsi="宋体" w:cs="MingLiU"/>
          <w:kern w:val="0"/>
          <w:sz w:val="20"/>
          <w:szCs w:val="20"/>
          <w:highlight w:val="none"/>
        </w:rPr>
      </w:pPr>
    </w:p>
    <w:p w14:paraId="44B5FF77">
      <w:pPr>
        <w:autoSpaceDE w:val="0"/>
        <w:autoSpaceDN w:val="0"/>
        <w:adjustRightInd w:val="0"/>
        <w:snapToGrid w:val="0"/>
        <w:spacing w:line="360" w:lineRule="auto"/>
        <w:jc w:val="left"/>
        <w:rPr>
          <w:rFonts w:ascii="宋体" w:hAnsi="宋体" w:cs="MingLiU"/>
          <w:kern w:val="0"/>
          <w:sz w:val="20"/>
          <w:szCs w:val="20"/>
          <w:highlight w:val="none"/>
        </w:rPr>
      </w:pPr>
    </w:p>
    <w:p w14:paraId="058C801A">
      <w:pPr>
        <w:autoSpaceDE w:val="0"/>
        <w:autoSpaceDN w:val="0"/>
        <w:adjustRightInd w:val="0"/>
        <w:snapToGrid w:val="0"/>
        <w:spacing w:line="360" w:lineRule="auto"/>
        <w:jc w:val="left"/>
        <w:rPr>
          <w:rFonts w:ascii="宋体" w:hAnsi="宋体" w:cs="MingLiU"/>
          <w:kern w:val="0"/>
          <w:sz w:val="20"/>
          <w:szCs w:val="20"/>
          <w:highlight w:val="none"/>
        </w:rPr>
      </w:pPr>
    </w:p>
    <w:p w14:paraId="6F38896E">
      <w:pPr>
        <w:autoSpaceDE w:val="0"/>
        <w:autoSpaceDN w:val="0"/>
        <w:adjustRightInd w:val="0"/>
        <w:snapToGrid w:val="0"/>
        <w:spacing w:line="360" w:lineRule="auto"/>
        <w:jc w:val="left"/>
        <w:rPr>
          <w:rFonts w:ascii="宋体" w:hAnsi="宋体" w:cs="MingLiU"/>
          <w:kern w:val="0"/>
          <w:sz w:val="20"/>
          <w:szCs w:val="20"/>
          <w:highlight w:val="none"/>
        </w:rPr>
      </w:pPr>
    </w:p>
    <w:p w14:paraId="4ACDCA6B">
      <w:pPr>
        <w:autoSpaceDE w:val="0"/>
        <w:autoSpaceDN w:val="0"/>
        <w:adjustRightInd w:val="0"/>
        <w:snapToGrid w:val="0"/>
        <w:spacing w:line="360" w:lineRule="auto"/>
        <w:jc w:val="left"/>
        <w:rPr>
          <w:rFonts w:ascii="宋体" w:hAnsi="宋体" w:cs="MingLiU"/>
          <w:kern w:val="0"/>
          <w:sz w:val="20"/>
          <w:szCs w:val="20"/>
          <w:highlight w:val="none"/>
        </w:rPr>
      </w:pPr>
    </w:p>
    <w:p w14:paraId="268D1A95">
      <w:pPr>
        <w:autoSpaceDE w:val="0"/>
        <w:autoSpaceDN w:val="0"/>
        <w:adjustRightInd w:val="0"/>
        <w:snapToGrid w:val="0"/>
        <w:spacing w:line="360" w:lineRule="auto"/>
        <w:jc w:val="left"/>
        <w:rPr>
          <w:rFonts w:ascii="宋体" w:hAnsi="宋体" w:cs="MingLiU"/>
          <w:kern w:val="0"/>
          <w:sz w:val="20"/>
          <w:szCs w:val="20"/>
          <w:highlight w:val="none"/>
        </w:rPr>
      </w:pPr>
    </w:p>
    <w:p w14:paraId="3952ED73">
      <w:pPr>
        <w:autoSpaceDE w:val="0"/>
        <w:autoSpaceDN w:val="0"/>
        <w:adjustRightInd w:val="0"/>
        <w:snapToGrid w:val="0"/>
        <w:spacing w:line="360" w:lineRule="auto"/>
        <w:jc w:val="left"/>
        <w:rPr>
          <w:rFonts w:ascii="宋体" w:hAnsi="宋体" w:cs="MingLiU"/>
          <w:kern w:val="0"/>
          <w:sz w:val="20"/>
          <w:szCs w:val="20"/>
          <w:highlight w:val="none"/>
        </w:rPr>
      </w:pPr>
    </w:p>
    <w:p w14:paraId="0A584ED7">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6029C8DC">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1D22053D">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14:paraId="0369F33F">
      <w:pPr>
        <w:autoSpaceDE w:val="0"/>
        <w:autoSpaceDN w:val="0"/>
        <w:adjustRightInd w:val="0"/>
        <w:snapToGrid w:val="0"/>
        <w:jc w:val="center"/>
        <w:rPr>
          <w:rFonts w:hint="eastAsia" w:ascii="宋体" w:hAnsi="宋体"/>
          <w:kern w:val="0"/>
          <w:sz w:val="36"/>
          <w:szCs w:val="36"/>
          <w:highlight w:val="none"/>
        </w:rPr>
      </w:pPr>
    </w:p>
    <w:p w14:paraId="7E25FF4C">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1E882A1D">
      <w:pPr>
        <w:spacing w:line="360" w:lineRule="auto"/>
        <w:jc w:val="center"/>
        <w:rPr>
          <w:rFonts w:ascii="宋体" w:hAnsi="宋体"/>
          <w:b/>
          <w:kern w:val="0"/>
          <w:sz w:val="32"/>
          <w:szCs w:val="32"/>
          <w:highlight w:val="none"/>
        </w:rPr>
      </w:pPr>
    </w:p>
    <w:p w14:paraId="67EB8353">
      <w:pPr>
        <w:spacing w:line="360" w:lineRule="auto"/>
        <w:ind w:firstLine="420" w:firstLineChars="200"/>
        <w:jc w:val="left"/>
        <w:rPr>
          <w:rFonts w:ascii="宋体" w:hAnsi="宋体"/>
          <w:highlight w:val="none"/>
        </w:rPr>
      </w:pPr>
      <w:r>
        <w:rPr>
          <w:rFonts w:ascii="宋体" w:hAnsi="宋体"/>
          <w:highlight w:val="none"/>
        </w:rPr>
        <w:t>（一）法定代表人身份证明及授权委托书</w:t>
      </w:r>
    </w:p>
    <w:p w14:paraId="6E70EE4A">
      <w:pPr>
        <w:spacing w:line="360" w:lineRule="auto"/>
        <w:ind w:firstLine="420" w:firstLineChars="200"/>
        <w:jc w:val="left"/>
        <w:rPr>
          <w:rFonts w:ascii="宋体" w:hAnsi="宋体"/>
          <w:highlight w:val="none"/>
        </w:rPr>
      </w:pPr>
      <w:r>
        <w:rPr>
          <w:rFonts w:ascii="宋体" w:hAnsi="宋体"/>
          <w:highlight w:val="none"/>
        </w:rPr>
        <w:t>（</w:t>
      </w:r>
      <w:r>
        <w:rPr>
          <w:rFonts w:hint="eastAsia" w:ascii="宋体" w:hAnsi="宋体"/>
          <w:highlight w:val="none"/>
          <w:lang w:val="en-US" w:eastAsia="zh-CN"/>
        </w:rPr>
        <w:t>二</w:t>
      </w:r>
      <w:r>
        <w:rPr>
          <w:rFonts w:ascii="宋体" w:hAnsi="宋体"/>
          <w:highlight w:val="none"/>
        </w:rPr>
        <w:t>）投标人基本情况表</w:t>
      </w:r>
    </w:p>
    <w:p w14:paraId="2BDC2C4B">
      <w:pPr>
        <w:spacing w:line="360" w:lineRule="auto"/>
        <w:ind w:firstLine="420" w:firstLineChars="200"/>
        <w:jc w:val="left"/>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14:paraId="3D55B6BB">
      <w:pPr>
        <w:spacing w:line="360" w:lineRule="auto"/>
        <w:ind w:firstLine="420" w:firstLineChars="200"/>
        <w:jc w:val="left"/>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投标截止日投标资格情况</w:t>
      </w:r>
    </w:p>
    <w:p w14:paraId="4E7BF59F">
      <w:pPr>
        <w:spacing w:line="360" w:lineRule="auto"/>
        <w:ind w:firstLine="420" w:firstLineChars="200"/>
        <w:jc w:val="left"/>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14:paraId="2AAA082E">
      <w:pPr>
        <w:spacing w:line="360" w:lineRule="auto"/>
        <w:jc w:val="left"/>
        <w:rPr>
          <w:rFonts w:ascii="宋体" w:hAnsi="宋体"/>
          <w:b/>
          <w:kern w:val="0"/>
          <w:sz w:val="32"/>
          <w:szCs w:val="32"/>
          <w:highlight w:val="none"/>
        </w:rPr>
      </w:pPr>
    </w:p>
    <w:p w14:paraId="7CBAFF73">
      <w:pPr>
        <w:spacing w:line="360" w:lineRule="auto"/>
        <w:jc w:val="left"/>
        <w:rPr>
          <w:rFonts w:ascii="宋体" w:hAnsi="宋体"/>
          <w:b/>
          <w:kern w:val="0"/>
          <w:sz w:val="32"/>
          <w:szCs w:val="32"/>
          <w:highlight w:val="none"/>
        </w:rPr>
      </w:pPr>
    </w:p>
    <w:p w14:paraId="3D5A3D55">
      <w:pPr>
        <w:pStyle w:val="6"/>
        <w:spacing w:before="0" w:after="0" w:line="240" w:lineRule="auto"/>
        <w:jc w:val="center"/>
        <w:rPr>
          <w:rFonts w:hint="eastAsia" w:ascii="宋体" w:hAnsi="宋体"/>
          <w:sz w:val="36"/>
          <w:szCs w:val="36"/>
          <w:highlight w:val="none"/>
        </w:rPr>
      </w:pPr>
      <w:r>
        <w:rPr>
          <w:rFonts w:ascii="宋体" w:hAnsi="宋体"/>
          <w:highlight w:val="none"/>
        </w:rPr>
        <w:br w:type="page"/>
      </w:r>
      <w:bookmarkStart w:id="1135" w:name="_Toc224103511"/>
      <w:bookmarkStart w:id="1136" w:name="_Toc277082657"/>
      <w:bookmarkStart w:id="1137" w:name="_Toc27983325"/>
      <w:bookmarkStart w:id="1138" w:name="_Toc430530546"/>
      <w:bookmarkStart w:id="1139" w:name="_Toc287620830"/>
      <w:bookmarkStart w:id="1140" w:name="_Toc287607883"/>
      <w:r>
        <w:rPr>
          <w:rFonts w:hint="eastAsia" w:ascii="宋体" w:hAnsi="宋体"/>
          <w:b w:val="0"/>
          <w:bCs w:val="0"/>
          <w:highlight w:val="none"/>
        </w:rPr>
        <w:t>（一）法定代表人身份证明及授权委托书</w:t>
      </w:r>
      <w:bookmarkEnd w:id="1135"/>
      <w:bookmarkEnd w:id="1136"/>
      <w:bookmarkEnd w:id="1137"/>
      <w:bookmarkEnd w:id="1138"/>
      <w:bookmarkEnd w:id="1139"/>
      <w:bookmarkEnd w:id="1140"/>
    </w:p>
    <w:p w14:paraId="6BEA1B65">
      <w:pPr>
        <w:jc w:val="center"/>
        <w:rPr>
          <w:rFonts w:hint="eastAsia" w:ascii="宋体" w:hAnsi="宋体"/>
          <w:b/>
          <w:sz w:val="28"/>
          <w:highlight w:val="none"/>
        </w:rPr>
      </w:pPr>
    </w:p>
    <w:p w14:paraId="20AFB9B5">
      <w:pPr>
        <w:jc w:val="center"/>
        <w:rPr>
          <w:rFonts w:hint="eastAsia" w:ascii="宋体" w:hAnsi="宋体"/>
          <w:b/>
          <w:sz w:val="28"/>
          <w:highlight w:val="none"/>
        </w:rPr>
      </w:pPr>
    </w:p>
    <w:p w14:paraId="07E3B716">
      <w:pPr>
        <w:spacing w:line="360" w:lineRule="auto"/>
        <w:jc w:val="center"/>
        <w:rPr>
          <w:rFonts w:hint="eastAsia" w:ascii="宋体" w:hAnsi="宋体"/>
          <w:highlight w:val="none"/>
        </w:rPr>
      </w:pPr>
      <w:r>
        <w:rPr>
          <w:rFonts w:hint="eastAsia" w:ascii="宋体" w:hAnsi="宋体"/>
          <w:sz w:val="28"/>
          <w:highlight w:val="none"/>
        </w:rPr>
        <w:t>法定代表人身份证明</w:t>
      </w:r>
    </w:p>
    <w:p w14:paraId="017AFB6B">
      <w:pPr>
        <w:jc w:val="center"/>
        <w:rPr>
          <w:rFonts w:hint="eastAsia" w:ascii="宋体" w:hAnsi="宋体"/>
          <w:b/>
          <w:sz w:val="28"/>
          <w:highlight w:val="none"/>
        </w:rPr>
      </w:pPr>
    </w:p>
    <w:p w14:paraId="0C3BBB31">
      <w:pPr>
        <w:jc w:val="center"/>
        <w:rPr>
          <w:rFonts w:hint="eastAsia" w:ascii="宋体" w:hAnsi="宋体"/>
          <w:b/>
          <w:sz w:val="28"/>
          <w:highlight w:val="none"/>
        </w:rPr>
      </w:pPr>
    </w:p>
    <w:p w14:paraId="39339763">
      <w:pPr>
        <w:tabs>
          <w:tab w:val="left" w:pos="556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投标人名称：</w:t>
      </w:r>
      <w:r>
        <w:rPr>
          <w:rFonts w:hint="eastAsia" w:ascii="宋体" w:hAnsi="宋体"/>
          <w:kern w:val="0"/>
          <w:szCs w:val="21"/>
          <w:highlight w:val="none"/>
          <w:u w:val="single"/>
        </w:rPr>
        <w:t xml:space="preserve">                                                                          </w:t>
      </w:r>
    </w:p>
    <w:p w14:paraId="067E12D9">
      <w:pPr>
        <w:tabs>
          <w:tab w:val="left" w:pos="547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单位性质：</w:t>
      </w:r>
      <w:r>
        <w:rPr>
          <w:rFonts w:hint="eastAsia" w:ascii="宋体" w:hAnsi="宋体"/>
          <w:kern w:val="0"/>
          <w:szCs w:val="21"/>
          <w:highlight w:val="none"/>
          <w:u w:val="single"/>
        </w:rPr>
        <w:t xml:space="preserve">                                                                            </w:t>
      </w:r>
    </w:p>
    <w:p w14:paraId="02DC73EE">
      <w:pPr>
        <w:tabs>
          <w:tab w:val="left" w:pos="547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hint="eastAsia" w:ascii="宋体" w:hAnsi="宋体"/>
          <w:kern w:val="0"/>
          <w:szCs w:val="21"/>
          <w:highlight w:val="none"/>
          <w:u w:val="single"/>
        </w:rPr>
        <w:t xml:space="preserve">                                                                             </w:t>
      </w:r>
    </w:p>
    <w:p w14:paraId="4078A58E">
      <w:pPr>
        <w:tabs>
          <w:tab w:val="left" w:pos="2520"/>
          <w:tab w:val="left" w:pos="3836"/>
        </w:tabs>
        <w:autoSpaceDE w:val="0"/>
        <w:autoSpaceDN w:val="0"/>
        <w:adjustRightInd w:val="0"/>
        <w:snapToGrid w:val="0"/>
        <w:spacing w:line="480" w:lineRule="auto"/>
        <w:ind w:firstLine="420" w:firstLineChars="200"/>
        <w:jc w:val="left"/>
        <w:rPr>
          <w:rFonts w:ascii="宋体" w:hAnsi="宋体"/>
          <w:kern w:val="0"/>
          <w:sz w:val="10"/>
          <w:szCs w:val="10"/>
          <w:highlight w:val="none"/>
        </w:rPr>
      </w:pPr>
      <w:r>
        <w:rPr>
          <w:rFonts w:ascii="宋体" w:hAnsi="宋体"/>
          <w:kern w:val="0"/>
          <w:szCs w:val="21"/>
          <w:highlight w:val="none"/>
        </w:rPr>
        <w:t>成立时间：</w:t>
      </w:r>
      <w:r>
        <w:rPr>
          <w:rFonts w:hint="eastAsia" w:ascii="宋体" w:hAnsi="宋体"/>
          <w:kern w:val="0"/>
          <w:szCs w:val="21"/>
          <w:highlight w:val="none"/>
          <w:u w:val="single"/>
        </w:rPr>
        <w:t xml:space="preserve">               </w:t>
      </w:r>
      <w:r>
        <w:rPr>
          <w:rFonts w:ascii="宋体" w:hAnsi="宋体"/>
          <w:spacing w:val="-1"/>
          <w:kern w:val="0"/>
          <w:szCs w:val="21"/>
          <w:highlight w:val="none"/>
        </w:rPr>
        <w:t>年</w:t>
      </w:r>
      <w:r>
        <w:rPr>
          <w:rFonts w:hint="eastAsia" w:ascii="宋体" w:hAnsi="宋体"/>
          <w:kern w:val="0"/>
          <w:szCs w:val="21"/>
          <w:highlight w:val="none"/>
          <w:u w:val="single"/>
        </w:rPr>
        <w:t xml:space="preserve">         </w:t>
      </w:r>
      <w:r>
        <w:rPr>
          <w:rFonts w:ascii="宋体" w:hAnsi="宋体"/>
          <w:spacing w:val="-1"/>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277FD1F3">
      <w:pPr>
        <w:tabs>
          <w:tab w:val="left" w:pos="547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经营期限：</w:t>
      </w:r>
      <w:r>
        <w:rPr>
          <w:rFonts w:hint="eastAsia" w:ascii="宋体" w:hAnsi="宋体"/>
          <w:kern w:val="0"/>
          <w:szCs w:val="21"/>
          <w:highlight w:val="none"/>
          <w:u w:val="single"/>
        </w:rPr>
        <w:t xml:space="preserve">                                                                             </w:t>
      </w:r>
    </w:p>
    <w:p w14:paraId="4D7153AB">
      <w:pPr>
        <w:tabs>
          <w:tab w:val="left" w:pos="1580"/>
          <w:tab w:val="left" w:pos="3260"/>
          <w:tab w:val="left" w:pos="4840"/>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姓名：</w:t>
      </w:r>
      <w:r>
        <w:rPr>
          <w:rFonts w:hint="eastAsia" w:ascii="宋体" w:hAnsi="宋体"/>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p>
    <w:p w14:paraId="058C2437">
      <w:pPr>
        <w:tabs>
          <w:tab w:val="left" w:pos="33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rPr>
        <w:t>（投标人名称）的法定代表人。</w:t>
      </w:r>
    </w:p>
    <w:p w14:paraId="057D0C48">
      <w:pPr>
        <w:autoSpaceDE w:val="0"/>
        <w:autoSpaceDN w:val="0"/>
        <w:adjustRightInd w:val="0"/>
        <w:snapToGrid w:val="0"/>
        <w:spacing w:line="480" w:lineRule="auto"/>
        <w:ind w:firstLine="186" w:firstLineChars="186"/>
        <w:jc w:val="left"/>
        <w:rPr>
          <w:rFonts w:ascii="宋体" w:hAnsi="宋体"/>
          <w:kern w:val="0"/>
          <w:sz w:val="10"/>
          <w:szCs w:val="10"/>
          <w:highlight w:val="none"/>
        </w:rPr>
      </w:pPr>
    </w:p>
    <w:p w14:paraId="5FDC1766">
      <w:pPr>
        <w:autoSpaceDE w:val="0"/>
        <w:autoSpaceDN w:val="0"/>
        <w:adjustRightInd w:val="0"/>
        <w:snapToGrid w:val="0"/>
        <w:spacing w:line="480" w:lineRule="auto"/>
        <w:ind w:firstLine="810" w:firstLineChars="386"/>
        <w:jc w:val="left"/>
        <w:rPr>
          <w:rFonts w:ascii="宋体" w:hAnsi="宋体"/>
          <w:kern w:val="0"/>
          <w:sz w:val="20"/>
          <w:szCs w:val="20"/>
          <w:highlight w:val="none"/>
        </w:rPr>
      </w:pPr>
      <w:r>
        <w:rPr>
          <w:rFonts w:ascii="宋体" w:hAnsi="宋体"/>
          <w:kern w:val="0"/>
          <w:szCs w:val="21"/>
          <w:highlight w:val="none"/>
        </w:rPr>
        <w:t>特此证明。</w:t>
      </w:r>
    </w:p>
    <w:p w14:paraId="7BFF3D0E">
      <w:pPr>
        <w:autoSpaceDE w:val="0"/>
        <w:autoSpaceDN w:val="0"/>
        <w:adjustRightInd w:val="0"/>
        <w:snapToGrid w:val="0"/>
        <w:spacing w:line="480" w:lineRule="auto"/>
        <w:jc w:val="left"/>
        <w:rPr>
          <w:rFonts w:ascii="宋体" w:hAnsi="宋体"/>
          <w:kern w:val="0"/>
          <w:sz w:val="20"/>
          <w:szCs w:val="20"/>
          <w:highlight w:val="none"/>
        </w:rPr>
      </w:pPr>
    </w:p>
    <w:p w14:paraId="67E5660E">
      <w:pPr>
        <w:autoSpaceDE w:val="0"/>
        <w:autoSpaceDN w:val="0"/>
        <w:adjustRightInd w:val="0"/>
        <w:snapToGrid w:val="0"/>
        <w:spacing w:line="480" w:lineRule="auto"/>
        <w:jc w:val="left"/>
        <w:rPr>
          <w:rFonts w:hint="eastAsia" w:ascii="宋体" w:hAnsi="宋体"/>
          <w:kern w:val="0"/>
          <w:sz w:val="20"/>
          <w:szCs w:val="20"/>
          <w:highlight w:val="none"/>
        </w:rPr>
      </w:pPr>
    </w:p>
    <w:p w14:paraId="77131DB2">
      <w:pPr>
        <w:autoSpaceDE w:val="0"/>
        <w:autoSpaceDN w:val="0"/>
        <w:adjustRightInd w:val="0"/>
        <w:snapToGrid w:val="0"/>
        <w:spacing w:line="480" w:lineRule="auto"/>
        <w:jc w:val="left"/>
        <w:rPr>
          <w:rFonts w:hint="eastAsia" w:ascii="宋体" w:hAnsi="宋体"/>
          <w:kern w:val="0"/>
          <w:sz w:val="20"/>
          <w:szCs w:val="20"/>
          <w:highlight w:val="none"/>
        </w:rPr>
      </w:pPr>
    </w:p>
    <w:p w14:paraId="085FAD30">
      <w:pPr>
        <w:autoSpaceDE w:val="0"/>
        <w:autoSpaceDN w:val="0"/>
        <w:adjustRightInd w:val="0"/>
        <w:snapToGrid w:val="0"/>
        <w:spacing w:line="480" w:lineRule="auto"/>
        <w:jc w:val="left"/>
        <w:rPr>
          <w:rFonts w:hint="eastAsia" w:ascii="宋体" w:hAnsi="宋体"/>
          <w:kern w:val="0"/>
          <w:sz w:val="20"/>
          <w:szCs w:val="20"/>
          <w:highlight w:val="none"/>
        </w:rPr>
      </w:pPr>
    </w:p>
    <w:p w14:paraId="6FFA4B18">
      <w:pPr>
        <w:tabs>
          <w:tab w:val="left" w:pos="6195"/>
        </w:tabs>
        <w:autoSpaceDE w:val="0"/>
        <w:autoSpaceDN w:val="0"/>
        <w:adjustRightInd w:val="0"/>
        <w:snapToGrid w:val="0"/>
        <w:spacing w:line="480" w:lineRule="auto"/>
        <w:ind w:firstLine="21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0648A8DB">
      <w:pPr>
        <w:autoSpaceDE w:val="0"/>
        <w:autoSpaceDN w:val="0"/>
        <w:adjustRightInd w:val="0"/>
        <w:snapToGrid w:val="0"/>
        <w:spacing w:line="480" w:lineRule="auto"/>
        <w:jc w:val="left"/>
        <w:rPr>
          <w:rFonts w:ascii="宋体" w:hAnsi="宋体"/>
          <w:kern w:val="0"/>
          <w:sz w:val="20"/>
          <w:szCs w:val="20"/>
          <w:highlight w:val="none"/>
        </w:rPr>
      </w:pPr>
    </w:p>
    <w:p w14:paraId="3E16F705">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highlight w:val="none"/>
        </w:rPr>
      </w:pP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年</w:t>
      </w:r>
      <w:r>
        <w:rPr>
          <w:rFonts w:ascii="宋体" w:hAnsi="宋体"/>
          <w:w w:val="200"/>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0D1784EF">
      <w:pPr>
        <w:autoSpaceDE w:val="0"/>
        <w:autoSpaceDN w:val="0"/>
        <w:adjustRightInd w:val="0"/>
        <w:snapToGrid w:val="0"/>
        <w:jc w:val="center"/>
        <w:rPr>
          <w:rFonts w:ascii="宋体" w:hAnsi="宋体"/>
          <w:b/>
          <w:kern w:val="0"/>
          <w:sz w:val="28"/>
          <w:szCs w:val="28"/>
          <w:highlight w:val="none"/>
        </w:rPr>
      </w:pPr>
    </w:p>
    <w:p w14:paraId="31E740FD">
      <w:pPr>
        <w:tabs>
          <w:tab w:val="left" w:pos="1680"/>
          <w:tab w:val="left" w:pos="4215"/>
          <w:tab w:val="left" w:pos="4305"/>
          <w:tab w:val="left" w:pos="8000"/>
        </w:tabs>
        <w:autoSpaceDE w:val="0"/>
        <w:autoSpaceDN w:val="0"/>
        <w:adjustRightInd w:val="0"/>
        <w:snapToGrid w:val="0"/>
        <w:spacing w:line="360" w:lineRule="auto"/>
        <w:rPr>
          <w:rFonts w:ascii="宋体" w:hAnsi="宋体"/>
          <w:b/>
          <w:kern w:val="0"/>
          <w:sz w:val="28"/>
          <w:szCs w:val="28"/>
          <w:highlight w:val="none"/>
        </w:rPr>
      </w:pPr>
    </w:p>
    <w:p w14:paraId="1610247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rFonts w:hint="eastAsia" w:ascii="宋体" w:hAnsi="宋体"/>
          <w:kern w:val="0"/>
          <w:szCs w:val="21"/>
          <w:highlight w:val="none"/>
        </w:rPr>
        <w:t>注：法定代表人身份证明需按上述格式填写完整，不可缺少内容。在此基础上增加内容的不影响其有效性。</w:t>
      </w:r>
    </w:p>
    <w:p w14:paraId="700BD4F1">
      <w:pPr>
        <w:autoSpaceDE w:val="0"/>
        <w:autoSpaceDN w:val="0"/>
        <w:adjustRightInd w:val="0"/>
        <w:snapToGrid w:val="0"/>
        <w:jc w:val="center"/>
        <w:rPr>
          <w:rFonts w:ascii="宋体" w:hAnsi="宋体"/>
          <w:b/>
          <w:kern w:val="0"/>
          <w:sz w:val="28"/>
          <w:szCs w:val="28"/>
          <w:highlight w:val="none"/>
        </w:rPr>
      </w:pPr>
      <w:r>
        <w:rPr>
          <w:rFonts w:ascii="宋体" w:hAnsi="宋体"/>
          <w:b/>
          <w:kern w:val="0"/>
          <w:sz w:val="28"/>
          <w:szCs w:val="28"/>
          <w:highlight w:val="none"/>
        </w:rPr>
        <w:br w:type="page"/>
      </w:r>
      <w:r>
        <w:rPr>
          <w:rFonts w:ascii="宋体" w:hAnsi="宋体"/>
          <w:sz w:val="36"/>
          <w:szCs w:val="36"/>
          <w:highlight w:val="none"/>
        </w:rPr>
        <w:t>授权委托书</w:t>
      </w:r>
    </w:p>
    <w:p w14:paraId="14D433CD">
      <w:pPr>
        <w:autoSpaceDE w:val="0"/>
        <w:autoSpaceDN w:val="0"/>
        <w:adjustRightInd w:val="0"/>
        <w:snapToGrid w:val="0"/>
        <w:spacing w:line="480" w:lineRule="auto"/>
        <w:ind w:firstLine="400" w:firstLineChars="200"/>
        <w:jc w:val="left"/>
        <w:rPr>
          <w:rFonts w:ascii="宋体" w:hAnsi="宋体"/>
          <w:kern w:val="0"/>
          <w:sz w:val="20"/>
          <w:szCs w:val="20"/>
          <w:highlight w:val="none"/>
        </w:rPr>
      </w:pPr>
    </w:p>
    <w:p w14:paraId="145632D2">
      <w:pPr>
        <w:autoSpaceDE w:val="0"/>
        <w:autoSpaceDN w:val="0"/>
        <w:adjustRightInd w:val="0"/>
        <w:snapToGrid w:val="0"/>
        <w:spacing w:line="480" w:lineRule="auto"/>
        <w:ind w:firstLine="400" w:firstLineChars="200"/>
        <w:jc w:val="left"/>
        <w:rPr>
          <w:rFonts w:ascii="宋体" w:hAnsi="宋体"/>
          <w:kern w:val="0"/>
          <w:sz w:val="20"/>
          <w:szCs w:val="20"/>
          <w:highlight w:val="none"/>
        </w:rPr>
      </w:pPr>
    </w:p>
    <w:p w14:paraId="5032D4BE">
      <w:pPr>
        <w:autoSpaceDE w:val="0"/>
        <w:autoSpaceDN w:val="0"/>
        <w:adjustRightInd w:val="0"/>
        <w:snapToGrid w:val="0"/>
        <w:spacing w:line="480" w:lineRule="auto"/>
        <w:ind w:firstLine="400" w:firstLineChars="200"/>
        <w:jc w:val="left"/>
        <w:rPr>
          <w:rFonts w:ascii="宋体" w:hAnsi="宋体"/>
          <w:kern w:val="0"/>
          <w:sz w:val="20"/>
          <w:szCs w:val="20"/>
          <w:highlight w:val="none"/>
        </w:rPr>
      </w:pPr>
    </w:p>
    <w:p w14:paraId="7B538E30">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highlight w:val="none"/>
        </w:rPr>
      </w:pPr>
      <w:r>
        <w:rPr>
          <w:rFonts w:ascii="宋体" w:hAnsi="宋体"/>
          <w:kern w:val="0"/>
          <w:szCs w:val="21"/>
          <w:highlight w:val="none"/>
        </w:rPr>
        <w:t>本人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（姓名）系</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投</w:t>
      </w:r>
      <w:r>
        <w:rPr>
          <w:rFonts w:ascii="宋体" w:hAnsi="宋体"/>
          <w:kern w:val="0"/>
          <w:szCs w:val="21"/>
          <w:highlight w:val="none"/>
        </w:rPr>
        <w:t>标人名称</w:t>
      </w:r>
      <w:r>
        <w:rPr>
          <w:rFonts w:ascii="宋体" w:hAnsi="宋体"/>
          <w:spacing w:val="1"/>
          <w:kern w:val="0"/>
          <w:szCs w:val="21"/>
          <w:highlight w:val="non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（姓 名）为我方代理人。代理人根据授权，以我方名义签署、澄清、说明、补正、递交、撤回、 修改</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（项</w:t>
      </w:r>
      <w:r>
        <w:rPr>
          <w:rFonts w:ascii="宋体" w:hAnsi="宋体"/>
          <w:spacing w:val="-1"/>
          <w:kern w:val="0"/>
          <w:szCs w:val="21"/>
          <w:highlight w:val="none"/>
        </w:rPr>
        <w:t>目</w:t>
      </w:r>
      <w:r>
        <w:rPr>
          <w:rFonts w:ascii="宋体" w:hAnsi="宋体"/>
          <w:kern w:val="0"/>
          <w:szCs w:val="21"/>
          <w:highlight w:val="none"/>
        </w:rPr>
        <w:t>名称）施工（分包）投标文件、签订合同和处理有关事宜， 其法律后果由我方承担。</w:t>
      </w:r>
    </w:p>
    <w:p w14:paraId="552F8D16">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6EF992BC">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highlight w:val="none"/>
        </w:rPr>
      </w:pPr>
      <w:r>
        <w:rPr>
          <w:rFonts w:ascii="宋体" w:hAnsi="宋体"/>
          <w:kern w:val="0"/>
          <w:szCs w:val="21"/>
          <w:highlight w:val="none"/>
        </w:rPr>
        <w:t>代理人无转委托权。</w:t>
      </w:r>
    </w:p>
    <w:p w14:paraId="20AC44C8">
      <w:pPr>
        <w:autoSpaceDE w:val="0"/>
        <w:autoSpaceDN w:val="0"/>
        <w:adjustRightInd w:val="0"/>
        <w:snapToGrid w:val="0"/>
        <w:spacing w:line="480" w:lineRule="auto"/>
        <w:ind w:firstLine="240" w:firstLineChars="200"/>
        <w:jc w:val="left"/>
        <w:rPr>
          <w:rFonts w:ascii="宋体" w:hAnsi="宋体"/>
          <w:kern w:val="0"/>
          <w:sz w:val="12"/>
          <w:szCs w:val="12"/>
          <w:highlight w:val="none"/>
        </w:rPr>
      </w:pPr>
    </w:p>
    <w:p w14:paraId="781E78B3">
      <w:pPr>
        <w:autoSpaceDE w:val="0"/>
        <w:autoSpaceDN w:val="0"/>
        <w:adjustRightInd w:val="0"/>
        <w:snapToGrid w:val="0"/>
        <w:spacing w:line="480" w:lineRule="auto"/>
        <w:ind w:firstLine="240" w:firstLineChars="200"/>
        <w:jc w:val="left"/>
        <w:rPr>
          <w:rFonts w:hint="eastAsia" w:ascii="宋体" w:hAnsi="宋体"/>
          <w:kern w:val="0"/>
          <w:sz w:val="12"/>
          <w:szCs w:val="12"/>
          <w:highlight w:val="none"/>
        </w:rPr>
      </w:pPr>
    </w:p>
    <w:p w14:paraId="46EFE701">
      <w:pPr>
        <w:autoSpaceDE w:val="0"/>
        <w:autoSpaceDN w:val="0"/>
        <w:adjustRightInd w:val="0"/>
        <w:snapToGrid w:val="0"/>
        <w:spacing w:line="480" w:lineRule="auto"/>
        <w:jc w:val="left"/>
        <w:rPr>
          <w:rFonts w:ascii="宋体" w:hAnsi="宋体"/>
          <w:kern w:val="0"/>
          <w:sz w:val="20"/>
          <w:szCs w:val="20"/>
          <w:highlight w:val="none"/>
        </w:rPr>
      </w:pPr>
    </w:p>
    <w:p w14:paraId="553D6E9D">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 xml:space="preserve">） </w:t>
      </w:r>
    </w:p>
    <w:p w14:paraId="383C5A1D">
      <w:pPr>
        <w:tabs>
          <w:tab w:val="left" w:pos="619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kern w:val="0"/>
          <w:szCs w:val="21"/>
          <w:highlight w:val="none"/>
          <w:u w:val="single"/>
        </w:rPr>
        <w:tab/>
      </w:r>
      <w:r>
        <w:rPr>
          <w:rFonts w:ascii="宋体" w:hAnsi="宋体"/>
          <w:kern w:val="0"/>
          <w:szCs w:val="21"/>
          <w:highlight w:val="none"/>
        </w:rPr>
        <w:t>（签字或盖章）</w:t>
      </w:r>
    </w:p>
    <w:p w14:paraId="44337229">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u w:val="single"/>
        </w:rPr>
        <w:tab/>
      </w:r>
    </w:p>
    <w:p w14:paraId="20C42C82">
      <w:pPr>
        <w:tabs>
          <w:tab w:val="left" w:pos="724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kern w:val="0"/>
          <w:szCs w:val="21"/>
          <w:highlight w:val="none"/>
        </w:rPr>
        <w:t>（签</w:t>
      </w:r>
      <w:r>
        <w:rPr>
          <w:rFonts w:ascii="宋体" w:hAnsi="宋体"/>
          <w:spacing w:val="-1"/>
          <w:kern w:val="0"/>
          <w:szCs w:val="21"/>
          <w:highlight w:val="none"/>
        </w:rPr>
        <w:t>字</w:t>
      </w:r>
      <w:r>
        <w:rPr>
          <w:rFonts w:ascii="宋体" w:hAnsi="宋体"/>
          <w:kern w:val="0"/>
          <w:szCs w:val="21"/>
          <w:highlight w:val="none"/>
        </w:rPr>
        <w:t>）</w:t>
      </w:r>
    </w:p>
    <w:p w14:paraId="2559E978">
      <w:pPr>
        <w:tabs>
          <w:tab w:val="left" w:pos="7350"/>
        </w:tabs>
        <w:autoSpaceDE w:val="0"/>
        <w:autoSpaceDN w:val="0"/>
        <w:adjustRightInd w:val="0"/>
        <w:snapToGrid w:val="0"/>
        <w:spacing w:line="480" w:lineRule="auto"/>
        <w:ind w:firstLine="420" w:firstLineChars="200"/>
        <w:jc w:val="left"/>
        <w:rPr>
          <w:rFonts w:hint="eastAsia" w:ascii="宋体" w:hAnsi="宋体"/>
          <w:kern w:val="0"/>
          <w:szCs w:val="21"/>
          <w:highlight w:val="non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ascii="宋体" w:hAnsi="宋体"/>
          <w:kern w:val="0"/>
          <w:szCs w:val="21"/>
          <w:highlight w:val="none"/>
          <w:u w:val="single"/>
        </w:rPr>
        <w:tab/>
      </w:r>
    </w:p>
    <w:p w14:paraId="17D3AD23">
      <w:pPr>
        <w:autoSpaceDE w:val="0"/>
        <w:autoSpaceDN w:val="0"/>
        <w:adjustRightInd w:val="0"/>
        <w:snapToGrid w:val="0"/>
        <w:spacing w:line="480" w:lineRule="auto"/>
        <w:jc w:val="left"/>
        <w:rPr>
          <w:rFonts w:hint="eastAsia" w:ascii="宋体" w:hAnsi="宋体"/>
          <w:kern w:val="0"/>
          <w:sz w:val="20"/>
          <w:szCs w:val="20"/>
          <w:highlight w:val="none"/>
        </w:rPr>
      </w:pPr>
    </w:p>
    <w:p w14:paraId="67735561">
      <w:pPr>
        <w:autoSpaceDE w:val="0"/>
        <w:autoSpaceDN w:val="0"/>
        <w:adjustRightInd w:val="0"/>
        <w:snapToGrid w:val="0"/>
        <w:spacing w:line="360" w:lineRule="auto"/>
        <w:jc w:val="right"/>
        <w:rPr>
          <w:rFonts w:ascii="宋体" w:hAnsi="宋体"/>
          <w:kern w:val="0"/>
          <w:highlight w:val="none"/>
        </w:rPr>
      </w:pP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rPr>
        <w:t>日</w:t>
      </w:r>
    </w:p>
    <w:p w14:paraId="25858AC6">
      <w:pPr>
        <w:autoSpaceDE w:val="0"/>
        <w:autoSpaceDN w:val="0"/>
        <w:adjustRightInd w:val="0"/>
        <w:snapToGrid w:val="0"/>
        <w:spacing w:line="480" w:lineRule="auto"/>
        <w:jc w:val="left"/>
        <w:rPr>
          <w:rFonts w:ascii="宋体" w:hAnsi="宋体"/>
          <w:kern w:val="0"/>
          <w:sz w:val="28"/>
          <w:szCs w:val="28"/>
          <w:highlight w:val="none"/>
        </w:rPr>
      </w:pPr>
    </w:p>
    <w:p w14:paraId="45169741">
      <w:pPr>
        <w:autoSpaceDE w:val="0"/>
        <w:autoSpaceDN w:val="0"/>
        <w:adjustRightInd w:val="0"/>
        <w:snapToGrid w:val="0"/>
        <w:spacing w:line="360" w:lineRule="auto"/>
        <w:ind w:right="630"/>
        <w:jc w:val="right"/>
        <w:rPr>
          <w:rFonts w:ascii="宋体" w:hAnsi="宋体"/>
          <w:kern w:val="0"/>
          <w:highlight w:val="none"/>
        </w:rPr>
      </w:pPr>
      <w:r>
        <w:rPr>
          <w:rFonts w:ascii="宋体" w:hAnsi="宋体"/>
          <w:highlight w:val="none"/>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148590</wp:posOffset>
                </wp:positionV>
                <wp:extent cx="5647055" cy="0"/>
                <wp:effectExtent l="0" t="0" r="0" b="0"/>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175">
                          <a:solidFill>
                            <a:srgbClr val="000000"/>
                          </a:solidFill>
                          <a:round/>
                        </a:ln>
                        <a:effectLst/>
                      </wps:spPr>
                      <wps:bodyPr/>
                    </wps:wsp>
                  </a:graphicData>
                </a:graphic>
              </wp:anchor>
            </w:drawing>
          </mc:Choice>
          <mc:Fallback>
            <w:pict>
              <v:line id="_x0000_s1026" o:spid="_x0000_s1026" o:spt="20" style="position:absolute;left:0pt;margin-left:1.55pt;margin-top:11.7pt;height:0pt;width:444.65pt;z-index:251660288;mso-width-relative:page;mso-height-relative:page;" filled="f" stroked="t" coordsize="21600,21600" o:gfxdata="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8AZ01wAAAAcBAAAPAAAAAAAAAAEAIAAAACIAAABkcnMvZG93bnJldi54bWxQSwECFAAUAAAACACH&#10;TuJAoZilp+wBAAC8AwAADgAAAAAAAAABACAAAAAmAQAAZHJzL2Uyb0RvYy54bWxQSwUGAAAAAAYA&#10;BgBZAQAAhAUAAAAA&#10;">
                <v:fill on="f" focussize="0,0"/>
                <v:stroke weight="0.25pt" color="#000000" joinstyle="round"/>
                <v:imagedata o:title=""/>
                <o:lock v:ext="edit" aspectratio="f"/>
              </v:line>
            </w:pict>
          </mc:Fallback>
        </mc:AlternateContent>
      </w:r>
    </w:p>
    <w:p w14:paraId="79DD35D9">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A825F14">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2、法定代表人身份证明及授权委托书原件装入投标文件一并递交。另外须准备一份授权委托书原件在开标现场出具。</w:t>
      </w:r>
    </w:p>
    <w:p w14:paraId="0617F39C">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300CE096">
      <w:pPr>
        <w:pStyle w:val="2"/>
        <w:rPr>
          <w:highlight w:val="none"/>
        </w:rPr>
      </w:pPr>
    </w:p>
    <w:p w14:paraId="2A9EE127">
      <w:pPr>
        <w:pStyle w:val="6"/>
        <w:spacing w:before="0" w:after="0" w:line="240" w:lineRule="auto"/>
        <w:jc w:val="center"/>
        <w:rPr>
          <w:rFonts w:ascii="宋体" w:hAnsi="宋体"/>
          <w:highlight w:val="none"/>
        </w:rPr>
      </w:pPr>
      <w:bookmarkStart w:id="1141" w:name="_Toc287620831"/>
      <w:bookmarkStart w:id="1142" w:name="_Toc287607884"/>
      <w:bookmarkStart w:id="1143" w:name="_Toc224103512"/>
      <w:bookmarkStart w:id="1144" w:name="_Toc430530547"/>
      <w:bookmarkStart w:id="1145" w:name="_Toc277082658"/>
      <w:bookmarkStart w:id="1146" w:name="_Toc27983326"/>
      <w:r>
        <w:rPr>
          <w:rFonts w:hint="eastAsia" w:ascii="宋体" w:hAnsi="宋体"/>
          <w:b w:val="0"/>
          <w:bCs w:val="0"/>
          <w:highlight w:val="none"/>
        </w:rPr>
        <w:t>（二）</w:t>
      </w:r>
      <w:bookmarkEnd w:id="1141"/>
      <w:bookmarkEnd w:id="1142"/>
      <w:bookmarkEnd w:id="1143"/>
      <w:bookmarkEnd w:id="1144"/>
      <w:bookmarkEnd w:id="1145"/>
      <w:bookmarkEnd w:id="1146"/>
      <w:bookmarkStart w:id="1147" w:name="_Toc27983327"/>
      <w:bookmarkStart w:id="1148" w:name="_Toc277082659"/>
      <w:bookmarkStart w:id="1149" w:name="_Toc287607887"/>
      <w:r>
        <w:rPr>
          <w:rFonts w:hint="eastAsia" w:ascii="宋体" w:hAnsi="宋体"/>
          <w:b w:val="0"/>
          <w:bCs w:val="0"/>
          <w:highlight w:val="none"/>
        </w:rPr>
        <w:t>投标人基本情况表</w:t>
      </w:r>
      <w:bookmarkEnd w:id="1147"/>
    </w:p>
    <w:tbl>
      <w:tblPr>
        <w:tblStyle w:val="53"/>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44E48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6746A2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投标人名称</w:t>
            </w:r>
          </w:p>
        </w:tc>
        <w:tc>
          <w:tcPr>
            <w:tcW w:w="7607" w:type="dxa"/>
            <w:gridSpan w:val="9"/>
            <w:vAlign w:val="center"/>
          </w:tcPr>
          <w:p w14:paraId="2067154A">
            <w:pPr>
              <w:autoSpaceDE w:val="0"/>
              <w:autoSpaceDN w:val="0"/>
              <w:adjustRightInd w:val="0"/>
              <w:snapToGrid w:val="0"/>
              <w:jc w:val="center"/>
              <w:rPr>
                <w:rFonts w:ascii="宋体" w:hAnsi="宋体"/>
                <w:kern w:val="0"/>
                <w:szCs w:val="21"/>
                <w:highlight w:val="none"/>
              </w:rPr>
            </w:pPr>
          </w:p>
        </w:tc>
      </w:tr>
      <w:tr w14:paraId="2B6732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F71E9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14:paraId="4BB5471F">
            <w:pPr>
              <w:autoSpaceDE w:val="0"/>
              <w:autoSpaceDN w:val="0"/>
              <w:adjustRightInd w:val="0"/>
              <w:snapToGrid w:val="0"/>
              <w:jc w:val="center"/>
              <w:rPr>
                <w:rFonts w:ascii="宋体" w:hAnsi="宋体"/>
                <w:kern w:val="0"/>
                <w:szCs w:val="21"/>
                <w:highlight w:val="none"/>
              </w:rPr>
            </w:pPr>
          </w:p>
        </w:tc>
        <w:tc>
          <w:tcPr>
            <w:tcW w:w="1392" w:type="dxa"/>
            <w:vAlign w:val="center"/>
          </w:tcPr>
          <w:p w14:paraId="0B8ABAD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14:paraId="75962AFC">
            <w:pPr>
              <w:autoSpaceDE w:val="0"/>
              <w:autoSpaceDN w:val="0"/>
              <w:adjustRightInd w:val="0"/>
              <w:snapToGrid w:val="0"/>
              <w:jc w:val="center"/>
              <w:rPr>
                <w:rFonts w:ascii="宋体" w:hAnsi="宋体"/>
                <w:kern w:val="0"/>
                <w:szCs w:val="21"/>
                <w:highlight w:val="none"/>
              </w:rPr>
            </w:pPr>
          </w:p>
        </w:tc>
      </w:tr>
      <w:tr w14:paraId="14F13F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1BF3CDB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14:paraId="0A104D0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14:paraId="5A2C1875">
            <w:pPr>
              <w:autoSpaceDE w:val="0"/>
              <w:autoSpaceDN w:val="0"/>
              <w:adjustRightInd w:val="0"/>
              <w:snapToGrid w:val="0"/>
              <w:jc w:val="center"/>
              <w:rPr>
                <w:rFonts w:ascii="宋体" w:hAnsi="宋体"/>
                <w:kern w:val="0"/>
                <w:szCs w:val="21"/>
                <w:highlight w:val="none"/>
              </w:rPr>
            </w:pPr>
          </w:p>
        </w:tc>
        <w:tc>
          <w:tcPr>
            <w:tcW w:w="1392" w:type="dxa"/>
            <w:vAlign w:val="center"/>
          </w:tcPr>
          <w:p w14:paraId="104CCA7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14:paraId="1B323662">
            <w:pPr>
              <w:autoSpaceDE w:val="0"/>
              <w:autoSpaceDN w:val="0"/>
              <w:adjustRightInd w:val="0"/>
              <w:snapToGrid w:val="0"/>
              <w:jc w:val="center"/>
              <w:rPr>
                <w:rFonts w:ascii="宋体" w:hAnsi="宋体"/>
                <w:kern w:val="0"/>
                <w:szCs w:val="21"/>
                <w:highlight w:val="none"/>
              </w:rPr>
            </w:pPr>
          </w:p>
        </w:tc>
      </w:tr>
      <w:tr w14:paraId="2CAA9F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60DCEECF">
            <w:pPr>
              <w:autoSpaceDE w:val="0"/>
              <w:autoSpaceDN w:val="0"/>
              <w:adjustRightInd w:val="0"/>
              <w:snapToGrid w:val="0"/>
              <w:jc w:val="center"/>
              <w:rPr>
                <w:rFonts w:ascii="宋体" w:hAnsi="宋体"/>
                <w:kern w:val="0"/>
                <w:szCs w:val="21"/>
                <w:highlight w:val="none"/>
              </w:rPr>
            </w:pPr>
          </w:p>
        </w:tc>
        <w:tc>
          <w:tcPr>
            <w:tcW w:w="967" w:type="dxa"/>
            <w:vAlign w:val="center"/>
          </w:tcPr>
          <w:p w14:paraId="2F69B895">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14:paraId="30EC66C3">
            <w:pPr>
              <w:autoSpaceDE w:val="0"/>
              <w:autoSpaceDN w:val="0"/>
              <w:adjustRightInd w:val="0"/>
              <w:snapToGrid w:val="0"/>
              <w:jc w:val="center"/>
              <w:rPr>
                <w:rFonts w:ascii="宋体" w:hAnsi="宋体"/>
                <w:kern w:val="0"/>
                <w:szCs w:val="21"/>
                <w:highlight w:val="none"/>
              </w:rPr>
            </w:pPr>
          </w:p>
        </w:tc>
        <w:tc>
          <w:tcPr>
            <w:tcW w:w="1392" w:type="dxa"/>
            <w:vAlign w:val="center"/>
          </w:tcPr>
          <w:p w14:paraId="4E7E3BE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14:paraId="1D3907F3">
            <w:pPr>
              <w:autoSpaceDE w:val="0"/>
              <w:autoSpaceDN w:val="0"/>
              <w:adjustRightInd w:val="0"/>
              <w:snapToGrid w:val="0"/>
              <w:jc w:val="center"/>
              <w:rPr>
                <w:rFonts w:ascii="宋体" w:hAnsi="宋体"/>
                <w:kern w:val="0"/>
                <w:szCs w:val="21"/>
                <w:highlight w:val="none"/>
              </w:rPr>
            </w:pPr>
          </w:p>
        </w:tc>
      </w:tr>
      <w:tr w14:paraId="66DD99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B22D9D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14:paraId="0AB2EE56">
            <w:pPr>
              <w:autoSpaceDE w:val="0"/>
              <w:autoSpaceDN w:val="0"/>
              <w:adjustRightInd w:val="0"/>
              <w:snapToGrid w:val="0"/>
              <w:jc w:val="center"/>
              <w:rPr>
                <w:rFonts w:ascii="宋体" w:hAnsi="宋体"/>
                <w:kern w:val="0"/>
                <w:szCs w:val="21"/>
                <w:highlight w:val="none"/>
              </w:rPr>
            </w:pPr>
          </w:p>
        </w:tc>
      </w:tr>
      <w:tr w14:paraId="4C287B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C5191F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14:paraId="3458C91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571AC217">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4C68146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5B68E4CF">
            <w:pPr>
              <w:autoSpaceDE w:val="0"/>
              <w:autoSpaceDN w:val="0"/>
              <w:adjustRightInd w:val="0"/>
              <w:snapToGrid w:val="0"/>
              <w:jc w:val="center"/>
              <w:rPr>
                <w:rFonts w:ascii="宋体" w:hAnsi="宋体"/>
                <w:kern w:val="0"/>
                <w:szCs w:val="21"/>
                <w:highlight w:val="none"/>
              </w:rPr>
            </w:pPr>
          </w:p>
        </w:tc>
        <w:tc>
          <w:tcPr>
            <w:tcW w:w="925" w:type="dxa"/>
            <w:vAlign w:val="center"/>
          </w:tcPr>
          <w:p w14:paraId="7DC1644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08474461">
            <w:pPr>
              <w:autoSpaceDE w:val="0"/>
              <w:autoSpaceDN w:val="0"/>
              <w:adjustRightInd w:val="0"/>
              <w:snapToGrid w:val="0"/>
              <w:jc w:val="center"/>
              <w:rPr>
                <w:rFonts w:ascii="宋体" w:hAnsi="宋体"/>
                <w:kern w:val="0"/>
                <w:szCs w:val="21"/>
                <w:highlight w:val="none"/>
              </w:rPr>
            </w:pPr>
          </w:p>
        </w:tc>
      </w:tr>
      <w:tr w14:paraId="51D05B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8833EB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14:paraId="6258628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118F25A4">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0D7BB73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68FAD925">
            <w:pPr>
              <w:autoSpaceDE w:val="0"/>
              <w:autoSpaceDN w:val="0"/>
              <w:adjustRightInd w:val="0"/>
              <w:snapToGrid w:val="0"/>
              <w:jc w:val="center"/>
              <w:rPr>
                <w:rFonts w:ascii="宋体" w:hAnsi="宋体"/>
                <w:kern w:val="0"/>
                <w:szCs w:val="21"/>
                <w:highlight w:val="none"/>
              </w:rPr>
            </w:pPr>
          </w:p>
        </w:tc>
        <w:tc>
          <w:tcPr>
            <w:tcW w:w="925" w:type="dxa"/>
            <w:vAlign w:val="center"/>
          </w:tcPr>
          <w:p w14:paraId="2F101F3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7F553FAA">
            <w:pPr>
              <w:autoSpaceDE w:val="0"/>
              <w:autoSpaceDN w:val="0"/>
              <w:adjustRightInd w:val="0"/>
              <w:snapToGrid w:val="0"/>
              <w:jc w:val="center"/>
              <w:rPr>
                <w:rFonts w:ascii="宋体" w:hAnsi="宋体"/>
                <w:kern w:val="0"/>
                <w:szCs w:val="21"/>
                <w:highlight w:val="none"/>
              </w:rPr>
            </w:pPr>
          </w:p>
        </w:tc>
      </w:tr>
      <w:tr w14:paraId="27DDB5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D7444B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14:paraId="23811D45">
            <w:pPr>
              <w:autoSpaceDE w:val="0"/>
              <w:autoSpaceDN w:val="0"/>
              <w:adjustRightInd w:val="0"/>
              <w:snapToGrid w:val="0"/>
              <w:jc w:val="center"/>
              <w:rPr>
                <w:rFonts w:ascii="宋体" w:hAnsi="宋体"/>
                <w:kern w:val="0"/>
                <w:szCs w:val="21"/>
                <w:highlight w:val="none"/>
              </w:rPr>
            </w:pPr>
          </w:p>
        </w:tc>
        <w:tc>
          <w:tcPr>
            <w:tcW w:w="5616" w:type="dxa"/>
            <w:gridSpan w:val="7"/>
            <w:vAlign w:val="center"/>
          </w:tcPr>
          <w:p w14:paraId="6870AA5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14:paraId="4F0084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376311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14:paraId="2EB7AAA3">
            <w:pPr>
              <w:autoSpaceDE w:val="0"/>
              <w:autoSpaceDN w:val="0"/>
              <w:adjustRightInd w:val="0"/>
              <w:snapToGrid w:val="0"/>
              <w:jc w:val="center"/>
              <w:rPr>
                <w:rFonts w:ascii="宋体" w:hAnsi="宋体"/>
                <w:kern w:val="0"/>
                <w:szCs w:val="21"/>
                <w:highlight w:val="none"/>
              </w:rPr>
            </w:pPr>
          </w:p>
        </w:tc>
        <w:tc>
          <w:tcPr>
            <w:tcW w:w="904" w:type="dxa"/>
            <w:vMerge w:val="restart"/>
            <w:vAlign w:val="center"/>
          </w:tcPr>
          <w:p w14:paraId="2E245BF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14:paraId="5485C0C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14:paraId="2E19F44B">
            <w:pPr>
              <w:autoSpaceDE w:val="0"/>
              <w:autoSpaceDN w:val="0"/>
              <w:adjustRightInd w:val="0"/>
              <w:snapToGrid w:val="0"/>
              <w:jc w:val="center"/>
              <w:rPr>
                <w:rFonts w:ascii="宋体" w:hAnsi="宋体"/>
                <w:kern w:val="0"/>
                <w:szCs w:val="21"/>
                <w:highlight w:val="none"/>
              </w:rPr>
            </w:pPr>
          </w:p>
        </w:tc>
      </w:tr>
      <w:tr w14:paraId="2F9E60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C5D62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营业执照号</w:t>
            </w:r>
          </w:p>
        </w:tc>
        <w:tc>
          <w:tcPr>
            <w:tcW w:w="1991" w:type="dxa"/>
            <w:gridSpan w:val="2"/>
            <w:vAlign w:val="center"/>
          </w:tcPr>
          <w:p w14:paraId="4FAA2C62">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7C5A31E6">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4030A58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14:paraId="3E123D4D">
            <w:pPr>
              <w:autoSpaceDE w:val="0"/>
              <w:autoSpaceDN w:val="0"/>
              <w:adjustRightInd w:val="0"/>
              <w:snapToGrid w:val="0"/>
              <w:jc w:val="center"/>
              <w:rPr>
                <w:rFonts w:ascii="宋体" w:hAnsi="宋体"/>
                <w:kern w:val="0"/>
                <w:szCs w:val="21"/>
                <w:highlight w:val="none"/>
              </w:rPr>
            </w:pPr>
          </w:p>
        </w:tc>
      </w:tr>
      <w:tr w14:paraId="344943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7D9A5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14:paraId="51EA4AB8">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3803E45F">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69336DD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14:paraId="3299A732">
            <w:pPr>
              <w:autoSpaceDE w:val="0"/>
              <w:autoSpaceDN w:val="0"/>
              <w:adjustRightInd w:val="0"/>
              <w:snapToGrid w:val="0"/>
              <w:jc w:val="center"/>
              <w:rPr>
                <w:rFonts w:ascii="宋体" w:hAnsi="宋体"/>
                <w:kern w:val="0"/>
                <w:szCs w:val="21"/>
                <w:highlight w:val="none"/>
              </w:rPr>
            </w:pPr>
          </w:p>
        </w:tc>
      </w:tr>
      <w:tr w14:paraId="371A6F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0291EA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14:paraId="2C6D960D">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79750B52">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7C38D34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14:paraId="0B3465BA">
            <w:pPr>
              <w:autoSpaceDE w:val="0"/>
              <w:autoSpaceDN w:val="0"/>
              <w:adjustRightInd w:val="0"/>
              <w:snapToGrid w:val="0"/>
              <w:jc w:val="center"/>
              <w:rPr>
                <w:rFonts w:ascii="宋体" w:hAnsi="宋体"/>
                <w:kern w:val="0"/>
                <w:szCs w:val="21"/>
                <w:highlight w:val="none"/>
              </w:rPr>
            </w:pPr>
          </w:p>
        </w:tc>
      </w:tr>
      <w:tr w14:paraId="7478C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429A56C">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14:paraId="12411698">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50E6E3CF">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05C3A273">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14:paraId="7A330609">
            <w:pPr>
              <w:autoSpaceDE w:val="0"/>
              <w:autoSpaceDN w:val="0"/>
              <w:adjustRightInd w:val="0"/>
              <w:snapToGrid w:val="0"/>
              <w:jc w:val="center"/>
              <w:rPr>
                <w:rFonts w:ascii="宋体" w:hAnsi="宋体"/>
                <w:kern w:val="0"/>
                <w:szCs w:val="21"/>
                <w:highlight w:val="none"/>
              </w:rPr>
            </w:pPr>
          </w:p>
        </w:tc>
      </w:tr>
      <w:tr w14:paraId="19CBE3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CB558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14:paraId="2AA4E366">
            <w:pPr>
              <w:autoSpaceDE w:val="0"/>
              <w:autoSpaceDN w:val="0"/>
              <w:adjustRightInd w:val="0"/>
              <w:snapToGrid w:val="0"/>
              <w:jc w:val="center"/>
              <w:rPr>
                <w:rFonts w:ascii="宋体" w:hAnsi="宋体"/>
                <w:kern w:val="0"/>
                <w:szCs w:val="21"/>
                <w:highlight w:val="none"/>
              </w:rPr>
            </w:pPr>
          </w:p>
        </w:tc>
      </w:tr>
      <w:tr w14:paraId="408C98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854FE8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14:paraId="0711027C">
            <w:pPr>
              <w:autoSpaceDE w:val="0"/>
              <w:autoSpaceDN w:val="0"/>
              <w:adjustRightInd w:val="0"/>
              <w:snapToGrid w:val="0"/>
              <w:jc w:val="center"/>
              <w:rPr>
                <w:rFonts w:ascii="宋体" w:hAnsi="宋体"/>
                <w:kern w:val="0"/>
                <w:szCs w:val="21"/>
                <w:highlight w:val="none"/>
              </w:rPr>
            </w:pPr>
          </w:p>
        </w:tc>
      </w:tr>
    </w:tbl>
    <w:p w14:paraId="6631E254">
      <w:pPr>
        <w:spacing w:line="360" w:lineRule="auto"/>
        <w:jc w:val="center"/>
        <w:rPr>
          <w:rFonts w:ascii="宋体" w:hAnsi="宋体"/>
          <w:szCs w:val="21"/>
          <w:highlight w:val="none"/>
        </w:rPr>
      </w:pPr>
    </w:p>
    <w:p w14:paraId="002AA6E7">
      <w:pPr>
        <w:pStyle w:val="6"/>
        <w:spacing w:before="0" w:after="0" w:line="240" w:lineRule="auto"/>
        <w:jc w:val="center"/>
        <w:rPr>
          <w:rFonts w:ascii="宋体" w:hAnsi="宋体"/>
          <w:b w:val="0"/>
          <w:bCs w:val="0"/>
          <w:highlight w:val="none"/>
        </w:rPr>
      </w:pPr>
      <w:r>
        <w:rPr>
          <w:rFonts w:ascii="宋体" w:hAnsi="宋体"/>
          <w:szCs w:val="21"/>
          <w:highlight w:val="none"/>
        </w:rPr>
        <w:br w:type="page"/>
      </w:r>
      <w:bookmarkStart w:id="1150" w:name="_Toc27983328"/>
      <w:bookmarkStart w:id="1151" w:name="_Toc534185840"/>
      <w:bookmarkStart w:id="1152" w:name="_Toc509218863"/>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1150"/>
      <w:bookmarkEnd w:id="1151"/>
      <w:bookmarkEnd w:id="1152"/>
    </w:p>
    <w:p w14:paraId="003128F0">
      <w:pPr>
        <w:spacing w:line="360" w:lineRule="auto"/>
        <w:rPr>
          <w:rFonts w:ascii="宋体" w:hAnsi="宋体"/>
          <w:highlight w:val="none"/>
        </w:rPr>
      </w:pPr>
    </w:p>
    <w:p w14:paraId="3CCF9F9A">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53"/>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441BFA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30AF7A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14:paraId="649E83D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14:paraId="391654F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14:paraId="7AA5FCC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14:paraId="0B61B7E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14:paraId="3DE2EC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14:paraId="119B4E1E">
            <w:pPr>
              <w:autoSpaceDE w:val="0"/>
              <w:autoSpaceDN w:val="0"/>
              <w:adjustRightInd w:val="0"/>
              <w:snapToGrid w:val="0"/>
              <w:jc w:val="left"/>
              <w:rPr>
                <w:rFonts w:ascii="宋体" w:hAnsi="宋体"/>
                <w:kern w:val="0"/>
                <w:szCs w:val="21"/>
                <w:highlight w:val="none"/>
              </w:rPr>
            </w:pPr>
          </w:p>
        </w:tc>
        <w:tc>
          <w:tcPr>
            <w:tcW w:w="734" w:type="dxa"/>
            <w:vMerge w:val="continue"/>
            <w:vAlign w:val="top"/>
          </w:tcPr>
          <w:p w14:paraId="7939F6D1">
            <w:pPr>
              <w:autoSpaceDE w:val="0"/>
              <w:autoSpaceDN w:val="0"/>
              <w:adjustRightInd w:val="0"/>
              <w:snapToGrid w:val="0"/>
              <w:jc w:val="left"/>
              <w:rPr>
                <w:rFonts w:ascii="宋体" w:hAnsi="宋体"/>
                <w:kern w:val="0"/>
                <w:szCs w:val="21"/>
                <w:highlight w:val="none"/>
              </w:rPr>
            </w:pPr>
          </w:p>
        </w:tc>
        <w:tc>
          <w:tcPr>
            <w:tcW w:w="776" w:type="dxa"/>
            <w:vMerge w:val="continue"/>
            <w:vAlign w:val="top"/>
          </w:tcPr>
          <w:p w14:paraId="08BF114F">
            <w:pPr>
              <w:autoSpaceDE w:val="0"/>
              <w:autoSpaceDN w:val="0"/>
              <w:adjustRightInd w:val="0"/>
              <w:snapToGrid w:val="0"/>
              <w:jc w:val="left"/>
              <w:rPr>
                <w:rFonts w:ascii="宋体" w:hAnsi="宋体"/>
                <w:kern w:val="0"/>
                <w:szCs w:val="21"/>
                <w:highlight w:val="none"/>
              </w:rPr>
            </w:pPr>
          </w:p>
        </w:tc>
        <w:tc>
          <w:tcPr>
            <w:tcW w:w="1167" w:type="dxa"/>
            <w:vAlign w:val="center"/>
          </w:tcPr>
          <w:p w14:paraId="3AD4367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14:paraId="78346F2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14:paraId="2ED0D5A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14:paraId="46FCE59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14:paraId="56BD1A0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vAlign w:val="top"/>
          </w:tcPr>
          <w:p w14:paraId="20CC7B65">
            <w:pPr>
              <w:autoSpaceDE w:val="0"/>
              <w:autoSpaceDN w:val="0"/>
              <w:adjustRightInd w:val="0"/>
              <w:snapToGrid w:val="0"/>
              <w:jc w:val="left"/>
              <w:rPr>
                <w:rFonts w:ascii="宋体" w:hAnsi="宋体"/>
                <w:kern w:val="0"/>
                <w:szCs w:val="21"/>
                <w:highlight w:val="none"/>
              </w:rPr>
            </w:pPr>
          </w:p>
        </w:tc>
      </w:tr>
      <w:tr w14:paraId="66AD09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D61355D">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vAlign w:val="top"/>
          </w:tcPr>
          <w:p w14:paraId="0582A064">
            <w:pPr>
              <w:autoSpaceDE w:val="0"/>
              <w:autoSpaceDN w:val="0"/>
              <w:adjustRightInd w:val="0"/>
              <w:snapToGrid w:val="0"/>
              <w:jc w:val="left"/>
              <w:rPr>
                <w:rFonts w:ascii="宋体" w:hAnsi="宋体"/>
                <w:kern w:val="0"/>
                <w:szCs w:val="21"/>
                <w:highlight w:val="none"/>
              </w:rPr>
            </w:pPr>
          </w:p>
        </w:tc>
        <w:tc>
          <w:tcPr>
            <w:tcW w:w="776" w:type="dxa"/>
            <w:vAlign w:val="top"/>
          </w:tcPr>
          <w:p w14:paraId="188EE685">
            <w:pPr>
              <w:autoSpaceDE w:val="0"/>
              <w:autoSpaceDN w:val="0"/>
              <w:adjustRightInd w:val="0"/>
              <w:snapToGrid w:val="0"/>
              <w:jc w:val="left"/>
              <w:rPr>
                <w:rFonts w:ascii="宋体" w:hAnsi="宋体"/>
                <w:kern w:val="0"/>
                <w:szCs w:val="21"/>
                <w:highlight w:val="none"/>
              </w:rPr>
            </w:pPr>
          </w:p>
        </w:tc>
        <w:tc>
          <w:tcPr>
            <w:tcW w:w="1167" w:type="dxa"/>
            <w:vAlign w:val="top"/>
          </w:tcPr>
          <w:p w14:paraId="4AD3FCDA">
            <w:pPr>
              <w:autoSpaceDE w:val="0"/>
              <w:autoSpaceDN w:val="0"/>
              <w:adjustRightInd w:val="0"/>
              <w:snapToGrid w:val="0"/>
              <w:jc w:val="left"/>
              <w:rPr>
                <w:rFonts w:ascii="宋体" w:hAnsi="宋体"/>
                <w:kern w:val="0"/>
                <w:szCs w:val="21"/>
                <w:highlight w:val="none"/>
              </w:rPr>
            </w:pPr>
          </w:p>
        </w:tc>
        <w:tc>
          <w:tcPr>
            <w:tcW w:w="776" w:type="dxa"/>
            <w:vAlign w:val="top"/>
          </w:tcPr>
          <w:p w14:paraId="22488E06">
            <w:pPr>
              <w:autoSpaceDE w:val="0"/>
              <w:autoSpaceDN w:val="0"/>
              <w:adjustRightInd w:val="0"/>
              <w:snapToGrid w:val="0"/>
              <w:jc w:val="left"/>
              <w:rPr>
                <w:rFonts w:ascii="宋体" w:hAnsi="宋体"/>
                <w:kern w:val="0"/>
                <w:szCs w:val="21"/>
                <w:highlight w:val="none"/>
              </w:rPr>
            </w:pPr>
          </w:p>
        </w:tc>
        <w:tc>
          <w:tcPr>
            <w:tcW w:w="778" w:type="dxa"/>
            <w:vAlign w:val="top"/>
          </w:tcPr>
          <w:p w14:paraId="5E70D49B">
            <w:pPr>
              <w:autoSpaceDE w:val="0"/>
              <w:autoSpaceDN w:val="0"/>
              <w:adjustRightInd w:val="0"/>
              <w:snapToGrid w:val="0"/>
              <w:jc w:val="left"/>
              <w:rPr>
                <w:rFonts w:ascii="宋体" w:hAnsi="宋体"/>
                <w:kern w:val="0"/>
                <w:szCs w:val="21"/>
                <w:highlight w:val="none"/>
              </w:rPr>
            </w:pPr>
          </w:p>
        </w:tc>
        <w:tc>
          <w:tcPr>
            <w:tcW w:w="776" w:type="dxa"/>
            <w:vAlign w:val="top"/>
          </w:tcPr>
          <w:p w14:paraId="3F79CE48">
            <w:pPr>
              <w:autoSpaceDE w:val="0"/>
              <w:autoSpaceDN w:val="0"/>
              <w:adjustRightInd w:val="0"/>
              <w:snapToGrid w:val="0"/>
              <w:jc w:val="left"/>
              <w:rPr>
                <w:rFonts w:ascii="宋体" w:hAnsi="宋体"/>
                <w:kern w:val="0"/>
                <w:szCs w:val="21"/>
                <w:highlight w:val="none"/>
              </w:rPr>
            </w:pPr>
          </w:p>
        </w:tc>
        <w:tc>
          <w:tcPr>
            <w:tcW w:w="2723" w:type="dxa"/>
            <w:vAlign w:val="top"/>
          </w:tcPr>
          <w:p w14:paraId="5AF5AA0E">
            <w:pPr>
              <w:autoSpaceDE w:val="0"/>
              <w:autoSpaceDN w:val="0"/>
              <w:adjustRightInd w:val="0"/>
              <w:snapToGrid w:val="0"/>
              <w:jc w:val="left"/>
              <w:rPr>
                <w:rFonts w:ascii="宋体" w:hAnsi="宋体"/>
                <w:kern w:val="0"/>
                <w:szCs w:val="21"/>
                <w:highlight w:val="none"/>
              </w:rPr>
            </w:pPr>
          </w:p>
        </w:tc>
        <w:tc>
          <w:tcPr>
            <w:tcW w:w="896" w:type="dxa"/>
            <w:vAlign w:val="top"/>
          </w:tcPr>
          <w:p w14:paraId="4724301C">
            <w:pPr>
              <w:autoSpaceDE w:val="0"/>
              <w:autoSpaceDN w:val="0"/>
              <w:adjustRightInd w:val="0"/>
              <w:snapToGrid w:val="0"/>
              <w:jc w:val="left"/>
              <w:rPr>
                <w:rFonts w:ascii="宋体" w:hAnsi="宋体"/>
                <w:kern w:val="0"/>
                <w:szCs w:val="21"/>
                <w:highlight w:val="none"/>
              </w:rPr>
            </w:pPr>
          </w:p>
        </w:tc>
      </w:tr>
      <w:tr w14:paraId="345FAB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DF6B5A0">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项目技术负责人</w:t>
            </w:r>
          </w:p>
        </w:tc>
        <w:tc>
          <w:tcPr>
            <w:tcW w:w="734" w:type="dxa"/>
            <w:vAlign w:val="top"/>
          </w:tcPr>
          <w:p w14:paraId="2954A26E">
            <w:pPr>
              <w:autoSpaceDE w:val="0"/>
              <w:autoSpaceDN w:val="0"/>
              <w:adjustRightInd w:val="0"/>
              <w:snapToGrid w:val="0"/>
              <w:jc w:val="left"/>
              <w:rPr>
                <w:rFonts w:ascii="宋体" w:hAnsi="宋体"/>
                <w:kern w:val="0"/>
                <w:szCs w:val="21"/>
                <w:highlight w:val="none"/>
              </w:rPr>
            </w:pPr>
          </w:p>
        </w:tc>
        <w:tc>
          <w:tcPr>
            <w:tcW w:w="776" w:type="dxa"/>
            <w:vAlign w:val="top"/>
          </w:tcPr>
          <w:p w14:paraId="6CB4C6A7">
            <w:pPr>
              <w:autoSpaceDE w:val="0"/>
              <w:autoSpaceDN w:val="0"/>
              <w:adjustRightInd w:val="0"/>
              <w:snapToGrid w:val="0"/>
              <w:jc w:val="left"/>
              <w:rPr>
                <w:rFonts w:ascii="宋体" w:hAnsi="宋体"/>
                <w:kern w:val="0"/>
                <w:szCs w:val="21"/>
                <w:highlight w:val="none"/>
              </w:rPr>
            </w:pPr>
          </w:p>
        </w:tc>
        <w:tc>
          <w:tcPr>
            <w:tcW w:w="1167" w:type="dxa"/>
            <w:vAlign w:val="top"/>
          </w:tcPr>
          <w:p w14:paraId="4525CDA0">
            <w:pPr>
              <w:autoSpaceDE w:val="0"/>
              <w:autoSpaceDN w:val="0"/>
              <w:adjustRightInd w:val="0"/>
              <w:snapToGrid w:val="0"/>
              <w:jc w:val="left"/>
              <w:rPr>
                <w:rFonts w:ascii="宋体" w:hAnsi="宋体"/>
                <w:kern w:val="0"/>
                <w:szCs w:val="21"/>
                <w:highlight w:val="none"/>
              </w:rPr>
            </w:pPr>
          </w:p>
        </w:tc>
        <w:tc>
          <w:tcPr>
            <w:tcW w:w="776" w:type="dxa"/>
            <w:vAlign w:val="top"/>
          </w:tcPr>
          <w:p w14:paraId="6442F508">
            <w:pPr>
              <w:autoSpaceDE w:val="0"/>
              <w:autoSpaceDN w:val="0"/>
              <w:adjustRightInd w:val="0"/>
              <w:snapToGrid w:val="0"/>
              <w:jc w:val="left"/>
              <w:rPr>
                <w:rFonts w:ascii="宋体" w:hAnsi="宋体"/>
                <w:kern w:val="0"/>
                <w:szCs w:val="21"/>
                <w:highlight w:val="none"/>
              </w:rPr>
            </w:pPr>
          </w:p>
        </w:tc>
        <w:tc>
          <w:tcPr>
            <w:tcW w:w="778" w:type="dxa"/>
            <w:vAlign w:val="top"/>
          </w:tcPr>
          <w:p w14:paraId="20218847">
            <w:pPr>
              <w:autoSpaceDE w:val="0"/>
              <w:autoSpaceDN w:val="0"/>
              <w:adjustRightInd w:val="0"/>
              <w:snapToGrid w:val="0"/>
              <w:jc w:val="left"/>
              <w:rPr>
                <w:rFonts w:ascii="宋体" w:hAnsi="宋体"/>
                <w:kern w:val="0"/>
                <w:szCs w:val="21"/>
                <w:highlight w:val="none"/>
              </w:rPr>
            </w:pPr>
          </w:p>
        </w:tc>
        <w:tc>
          <w:tcPr>
            <w:tcW w:w="776" w:type="dxa"/>
            <w:vAlign w:val="top"/>
          </w:tcPr>
          <w:p w14:paraId="261C7557">
            <w:pPr>
              <w:autoSpaceDE w:val="0"/>
              <w:autoSpaceDN w:val="0"/>
              <w:adjustRightInd w:val="0"/>
              <w:snapToGrid w:val="0"/>
              <w:jc w:val="left"/>
              <w:rPr>
                <w:rFonts w:ascii="宋体" w:hAnsi="宋体"/>
                <w:kern w:val="0"/>
                <w:szCs w:val="21"/>
                <w:highlight w:val="none"/>
              </w:rPr>
            </w:pPr>
          </w:p>
        </w:tc>
        <w:tc>
          <w:tcPr>
            <w:tcW w:w="2723" w:type="dxa"/>
            <w:vAlign w:val="top"/>
          </w:tcPr>
          <w:p w14:paraId="297341BB">
            <w:pPr>
              <w:autoSpaceDE w:val="0"/>
              <w:autoSpaceDN w:val="0"/>
              <w:adjustRightInd w:val="0"/>
              <w:snapToGrid w:val="0"/>
              <w:jc w:val="left"/>
              <w:rPr>
                <w:rFonts w:ascii="宋体" w:hAnsi="宋体"/>
                <w:kern w:val="0"/>
                <w:szCs w:val="21"/>
                <w:highlight w:val="none"/>
              </w:rPr>
            </w:pPr>
          </w:p>
        </w:tc>
        <w:tc>
          <w:tcPr>
            <w:tcW w:w="896" w:type="dxa"/>
            <w:vAlign w:val="top"/>
          </w:tcPr>
          <w:p w14:paraId="6B47EF04">
            <w:pPr>
              <w:autoSpaceDE w:val="0"/>
              <w:autoSpaceDN w:val="0"/>
              <w:adjustRightInd w:val="0"/>
              <w:snapToGrid w:val="0"/>
              <w:jc w:val="left"/>
              <w:rPr>
                <w:rFonts w:ascii="宋体" w:hAnsi="宋体"/>
                <w:kern w:val="0"/>
                <w:szCs w:val="21"/>
                <w:highlight w:val="none"/>
              </w:rPr>
            </w:pPr>
          </w:p>
        </w:tc>
      </w:tr>
      <w:tr w14:paraId="2642C5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170BAC7">
            <w:pPr>
              <w:autoSpaceDE w:val="0"/>
              <w:autoSpaceDN w:val="0"/>
              <w:adjustRightInd w:val="0"/>
              <w:snapToGrid w:val="0"/>
              <w:jc w:val="left"/>
              <w:rPr>
                <w:rFonts w:ascii="宋体" w:hAnsi="宋体"/>
                <w:kern w:val="0"/>
                <w:szCs w:val="21"/>
                <w:highlight w:val="none"/>
              </w:rPr>
            </w:pPr>
          </w:p>
        </w:tc>
        <w:tc>
          <w:tcPr>
            <w:tcW w:w="734" w:type="dxa"/>
            <w:vAlign w:val="top"/>
          </w:tcPr>
          <w:p w14:paraId="5E0391FE">
            <w:pPr>
              <w:autoSpaceDE w:val="0"/>
              <w:autoSpaceDN w:val="0"/>
              <w:adjustRightInd w:val="0"/>
              <w:snapToGrid w:val="0"/>
              <w:jc w:val="left"/>
              <w:rPr>
                <w:rFonts w:ascii="宋体" w:hAnsi="宋体"/>
                <w:kern w:val="0"/>
                <w:szCs w:val="21"/>
                <w:highlight w:val="none"/>
              </w:rPr>
            </w:pPr>
          </w:p>
        </w:tc>
        <w:tc>
          <w:tcPr>
            <w:tcW w:w="776" w:type="dxa"/>
            <w:vAlign w:val="top"/>
          </w:tcPr>
          <w:p w14:paraId="5EB0F25F">
            <w:pPr>
              <w:autoSpaceDE w:val="0"/>
              <w:autoSpaceDN w:val="0"/>
              <w:adjustRightInd w:val="0"/>
              <w:snapToGrid w:val="0"/>
              <w:jc w:val="left"/>
              <w:rPr>
                <w:rFonts w:ascii="宋体" w:hAnsi="宋体"/>
                <w:kern w:val="0"/>
                <w:szCs w:val="21"/>
                <w:highlight w:val="none"/>
              </w:rPr>
            </w:pPr>
          </w:p>
        </w:tc>
        <w:tc>
          <w:tcPr>
            <w:tcW w:w="1167" w:type="dxa"/>
            <w:vAlign w:val="top"/>
          </w:tcPr>
          <w:p w14:paraId="66CE62C2">
            <w:pPr>
              <w:autoSpaceDE w:val="0"/>
              <w:autoSpaceDN w:val="0"/>
              <w:adjustRightInd w:val="0"/>
              <w:snapToGrid w:val="0"/>
              <w:jc w:val="left"/>
              <w:rPr>
                <w:rFonts w:ascii="宋体" w:hAnsi="宋体"/>
                <w:kern w:val="0"/>
                <w:szCs w:val="21"/>
                <w:highlight w:val="none"/>
              </w:rPr>
            </w:pPr>
          </w:p>
        </w:tc>
        <w:tc>
          <w:tcPr>
            <w:tcW w:w="776" w:type="dxa"/>
            <w:vAlign w:val="top"/>
          </w:tcPr>
          <w:p w14:paraId="6CBEE57F">
            <w:pPr>
              <w:autoSpaceDE w:val="0"/>
              <w:autoSpaceDN w:val="0"/>
              <w:adjustRightInd w:val="0"/>
              <w:snapToGrid w:val="0"/>
              <w:jc w:val="left"/>
              <w:rPr>
                <w:rFonts w:ascii="宋体" w:hAnsi="宋体"/>
                <w:kern w:val="0"/>
                <w:szCs w:val="21"/>
                <w:highlight w:val="none"/>
              </w:rPr>
            </w:pPr>
          </w:p>
        </w:tc>
        <w:tc>
          <w:tcPr>
            <w:tcW w:w="778" w:type="dxa"/>
            <w:vAlign w:val="top"/>
          </w:tcPr>
          <w:p w14:paraId="4D0DF0B3">
            <w:pPr>
              <w:autoSpaceDE w:val="0"/>
              <w:autoSpaceDN w:val="0"/>
              <w:adjustRightInd w:val="0"/>
              <w:snapToGrid w:val="0"/>
              <w:jc w:val="left"/>
              <w:rPr>
                <w:rFonts w:ascii="宋体" w:hAnsi="宋体"/>
                <w:kern w:val="0"/>
                <w:szCs w:val="21"/>
                <w:highlight w:val="none"/>
              </w:rPr>
            </w:pPr>
          </w:p>
        </w:tc>
        <w:tc>
          <w:tcPr>
            <w:tcW w:w="776" w:type="dxa"/>
            <w:vAlign w:val="top"/>
          </w:tcPr>
          <w:p w14:paraId="6EDA8F15">
            <w:pPr>
              <w:autoSpaceDE w:val="0"/>
              <w:autoSpaceDN w:val="0"/>
              <w:adjustRightInd w:val="0"/>
              <w:snapToGrid w:val="0"/>
              <w:jc w:val="left"/>
              <w:rPr>
                <w:rFonts w:ascii="宋体" w:hAnsi="宋体"/>
                <w:kern w:val="0"/>
                <w:szCs w:val="21"/>
                <w:highlight w:val="none"/>
              </w:rPr>
            </w:pPr>
          </w:p>
        </w:tc>
        <w:tc>
          <w:tcPr>
            <w:tcW w:w="2723" w:type="dxa"/>
            <w:vAlign w:val="top"/>
          </w:tcPr>
          <w:p w14:paraId="1384B5BD">
            <w:pPr>
              <w:autoSpaceDE w:val="0"/>
              <w:autoSpaceDN w:val="0"/>
              <w:adjustRightInd w:val="0"/>
              <w:snapToGrid w:val="0"/>
              <w:jc w:val="left"/>
              <w:rPr>
                <w:rFonts w:ascii="宋体" w:hAnsi="宋体"/>
                <w:kern w:val="0"/>
                <w:szCs w:val="21"/>
                <w:highlight w:val="none"/>
              </w:rPr>
            </w:pPr>
          </w:p>
        </w:tc>
        <w:tc>
          <w:tcPr>
            <w:tcW w:w="896" w:type="dxa"/>
            <w:vAlign w:val="top"/>
          </w:tcPr>
          <w:p w14:paraId="32CF20DE">
            <w:pPr>
              <w:autoSpaceDE w:val="0"/>
              <w:autoSpaceDN w:val="0"/>
              <w:adjustRightInd w:val="0"/>
              <w:snapToGrid w:val="0"/>
              <w:jc w:val="left"/>
              <w:rPr>
                <w:rFonts w:ascii="宋体" w:hAnsi="宋体"/>
                <w:kern w:val="0"/>
                <w:szCs w:val="21"/>
                <w:highlight w:val="none"/>
              </w:rPr>
            </w:pPr>
          </w:p>
        </w:tc>
      </w:tr>
      <w:tr w14:paraId="6C3D32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4CCA656">
            <w:pPr>
              <w:autoSpaceDE w:val="0"/>
              <w:autoSpaceDN w:val="0"/>
              <w:adjustRightInd w:val="0"/>
              <w:snapToGrid w:val="0"/>
              <w:jc w:val="left"/>
              <w:rPr>
                <w:rFonts w:ascii="宋体" w:hAnsi="宋体"/>
                <w:kern w:val="0"/>
                <w:szCs w:val="21"/>
                <w:highlight w:val="none"/>
              </w:rPr>
            </w:pPr>
          </w:p>
        </w:tc>
        <w:tc>
          <w:tcPr>
            <w:tcW w:w="734" w:type="dxa"/>
            <w:vAlign w:val="top"/>
          </w:tcPr>
          <w:p w14:paraId="18B1F34A">
            <w:pPr>
              <w:autoSpaceDE w:val="0"/>
              <w:autoSpaceDN w:val="0"/>
              <w:adjustRightInd w:val="0"/>
              <w:snapToGrid w:val="0"/>
              <w:jc w:val="left"/>
              <w:rPr>
                <w:rFonts w:ascii="宋体" w:hAnsi="宋体"/>
                <w:kern w:val="0"/>
                <w:szCs w:val="21"/>
                <w:highlight w:val="none"/>
              </w:rPr>
            </w:pPr>
          </w:p>
        </w:tc>
        <w:tc>
          <w:tcPr>
            <w:tcW w:w="776" w:type="dxa"/>
            <w:vAlign w:val="top"/>
          </w:tcPr>
          <w:p w14:paraId="0376436A">
            <w:pPr>
              <w:autoSpaceDE w:val="0"/>
              <w:autoSpaceDN w:val="0"/>
              <w:adjustRightInd w:val="0"/>
              <w:snapToGrid w:val="0"/>
              <w:jc w:val="left"/>
              <w:rPr>
                <w:rFonts w:ascii="宋体" w:hAnsi="宋体"/>
                <w:kern w:val="0"/>
                <w:szCs w:val="21"/>
                <w:highlight w:val="none"/>
              </w:rPr>
            </w:pPr>
          </w:p>
        </w:tc>
        <w:tc>
          <w:tcPr>
            <w:tcW w:w="1167" w:type="dxa"/>
            <w:vAlign w:val="top"/>
          </w:tcPr>
          <w:p w14:paraId="71D26ACA">
            <w:pPr>
              <w:autoSpaceDE w:val="0"/>
              <w:autoSpaceDN w:val="0"/>
              <w:adjustRightInd w:val="0"/>
              <w:snapToGrid w:val="0"/>
              <w:jc w:val="left"/>
              <w:rPr>
                <w:rFonts w:ascii="宋体" w:hAnsi="宋体"/>
                <w:kern w:val="0"/>
                <w:szCs w:val="21"/>
                <w:highlight w:val="none"/>
              </w:rPr>
            </w:pPr>
          </w:p>
        </w:tc>
        <w:tc>
          <w:tcPr>
            <w:tcW w:w="776" w:type="dxa"/>
            <w:vAlign w:val="top"/>
          </w:tcPr>
          <w:p w14:paraId="09C04588">
            <w:pPr>
              <w:autoSpaceDE w:val="0"/>
              <w:autoSpaceDN w:val="0"/>
              <w:adjustRightInd w:val="0"/>
              <w:snapToGrid w:val="0"/>
              <w:jc w:val="left"/>
              <w:rPr>
                <w:rFonts w:ascii="宋体" w:hAnsi="宋体"/>
                <w:kern w:val="0"/>
                <w:szCs w:val="21"/>
                <w:highlight w:val="none"/>
              </w:rPr>
            </w:pPr>
          </w:p>
        </w:tc>
        <w:tc>
          <w:tcPr>
            <w:tcW w:w="778" w:type="dxa"/>
            <w:vAlign w:val="top"/>
          </w:tcPr>
          <w:p w14:paraId="6DF135C4">
            <w:pPr>
              <w:autoSpaceDE w:val="0"/>
              <w:autoSpaceDN w:val="0"/>
              <w:adjustRightInd w:val="0"/>
              <w:snapToGrid w:val="0"/>
              <w:jc w:val="left"/>
              <w:rPr>
                <w:rFonts w:ascii="宋体" w:hAnsi="宋体"/>
                <w:kern w:val="0"/>
                <w:szCs w:val="21"/>
                <w:highlight w:val="none"/>
              </w:rPr>
            </w:pPr>
          </w:p>
        </w:tc>
        <w:tc>
          <w:tcPr>
            <w:tcW w:w="776" w:type="dxa"/>
            <w:vAlign w:val="top"/>
          </w:tcPr>
          <w:p w14:paraId="62FAC3C2">
            <w:pPr>
              <w:autoSpaceDE w:val="0"/>
              <w:autoSpaceDN w:val="0"/>
              <w:adjustRightInd w:val="0"/>
              <w:snapToGrid w:val="0"/>
              <w:jc w:val="left"/>
              <w:rPr>
                <w:rFonts w:ascii="宋体" w:hAnsi="宋体"/>
                <w:kern w:val="0"/>
                <w:szCs w:val="21"/>
                <w:highlight w:val="none"/>
              </w:rPr>
            </w:pPr>
          </w:p>
        </w:tc>
        <w:tc>
          <w:tcPr>
            <w:tcW w:w="2723" w:type="dxa"/>
            <w:vAlign w:val="top"/>
          </w:tcPr>
          <w:p w14:paraId="46EA6124">
            <w:pPr>
              <w:autoSpaceDE w:val="0"/>
              <w:autoSpaceDN w:val="0"/>
              <w:adjustRightInd w:val="0"/>
              <w:snapToGrid w:val="0"/>
              <w:jc w:val="left"/>
              <w:rPr>
                <w:rFonts w:ascii="宋体" w:hAnsi="宋体"/>
                <w:kern w:val="0"/>
                <w:szCs w:val="21"/>
                <w:highlight w:val="none"/>
              </w:rPr>
            </w:pPr>
          </w:p>
        </w:tc>
        <w:tc>
          <w:tcPr>
            <w:tcW w:w="896" w:type="dxa"/>
            <w:vAlign w:val="top"/>
          </w:tcPr>
          <w:p w14:paraId="3903575E">
            <w:pPr>
              <w:autoSpaceDE w:val="0"/>
              <w:autoSpaceDN w:val="0"/>
              <w:adjustRightInd w:val="0"/>
              <w:snapToGrid w:val="0"/>
              <w:jc w:val="left"/>
              <w:rPr>
                <w:rFonts w:ascii="宋体" w:hAnsi="宋体"/>
                <w:kern w:val="0"/>
                <w:szCs w:val="21"/>
                <w:highlight w:val="none"/>
              </w:rPr>
            </w:pPr>
          </w:p>
        </w:tc>
      </w:tr>
      <w:tr w14:paraId="780548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EF0F4D3">
            <w:pPr>
              <w:autoSpaceDE w:val="0"/>
              <w:autoSpaceDN w:val="0"/>
              <w:adjustRightInd w:val="0"/>
              <w:snapToGrid w:val="0"/>
              <w:jc w:val="left"/>
              <w:rPr>
                <w:rFonts w:ascii="宋体" w:hAnsi="宋体"/>
                <w:kern w:val="0"/>
                <w:szCs w:val="21"/>
                <w:highlight w:val="none"/>
              </w:rPr>
            </w:pPr>
          </w:p>
        </w:tc>
        <w:tc>
          <w:tcPr>
            <w:tcW w:w="734" w:type="dxa"/>
            <w:vAlign w:val="top"/>
          </w:tcPr>
          <w:p w14:paraId="1F9309B2">
            <w:pPr>
              <w:autoSpaceDE w:val="0"/>
              <w:autoSpaceDN w:val="0"/>
              <w:adjustRightInd w:val="0"/>
              <w:snapToGrid w:val="0"/>
              <w:jc w:val="left"/>
              <w:rPr>
                <w:rFonts w:ascii="宋体" w:hAnsi="宋体"/>
                <w:kern w:val="0"/>
                <w:szCs w:val="21"/>
                <w:highlight w:val="none"/>
              </w:rPr>
            </w:pPr>
          </w:p>
        </w:tc>
        <w:tc>
          <w:tcPr>
            <w:tcW w:w="776" w:type="dxa"/>
            <w:vAlign w:val="top"/>
          </w:tcPr>
          <w:p w14:paraId="51666C75">
            <w:pPr>
              <w:autoSpaceDE w:val="0"/>
              <w:autoSpaceDN w:val="0"/>
              <w:adjustRightInd w:val="0"/>
              <w:snapToGrid w:val="0"/>
              <w:jc w:val="left"/>
              <w:rPr>
                <w:rFonts w:ascii="宋体" w:hAnsi="宋体"/>
                <w:kern w:val="0"/>
                <w:szCs w:val="21"/>
                <w:highlight w:val="none"/>
              </w:rPr>
            </w:pPr>
          </w:p>
        </w:tc>
        <w:tc>
          <w:tcPr>
            <w:tcW w:w="1167" w:type="dxa"/>
            <w:vAlign w:val="top"/>
          </w:tcPr>
          <w:p w14:paraId="0B32845A">
            <w:pPr>
              <w:autoSpaceDE w:val="0"/>
              <w:autoSpaceDN w:val="0"/>
              <w:adjustRightInd w:val="0"/>
              <w:snapToGrid w:val="0"/>
              <w:jc w:val="left"/>
              <w:rPr>
                <w:rFonts w:ascii="宋体" w:hAnsi="宋体"/>
                <w:kern w:val="0"/>
                <w:szCs w:val="21"/>
                <w:highlight w:val="none"/>
              </w:rPr>
            </w:pPr>
          </w:p>
        </w:tc>
        <w:tc>
          <w:tcPr>
            <w:tcW w:w="776" w:type="dxa"/>
            <w:vAlign w:val="top"/>
          </w:tcPr>
          <w:p w14:paraId="7EE158C7">
            <w:pPr>
              <w:autoSpaceDE w:val="0"/>
              <w:autoSpaceDN w:val="0"/>
              <w:adjustRightInd w:val="0"/>
              <w:snapToGrid w:val="0"/>
              <w:jc w:val="left"/>
              <w:rPr>
                <w:rFonts w:ascii="宋体" w:hAnsi="宋体"/>
                <w:kern w:val="0"/>
                <w:szCs w:val="21"/>
                <w:highlight w:val="none"/>
              </w:rPr>
            </w:pPr>
          </w:p>
        </w:tc>
        <w:tc>
          <w:tcPr>
            <w:tcW w:w="778" w:type="dxa"/>
            <w:vAlign w:val="top"/>
          </w:tcPr>
          <w:p w14:paraId="6AA65FCC">
            <w:pPr>
              <w:autoSpaceDE w:val="0"/>
              <w:autoSpaceDN w:val="0"/>
              <w:adjustRightInd w:val="0"/>
              <w:snapToGrid w:val="0"/>
              <w:jc w:val="left"/>
              <w:rPr>
                <w:rFonts w:ascii="宋体" w:hAnsi="宋体"/>
                <w:kern w:val="0"/>
                <w:szCs w:val="21"/>
                <w:highlight w:val="none"/>
              </w:rPr>
            </w:pPr>
          </w:p>
        </w:tc>
        <w:tc>
          <w:tcPr>
            <w:tcW w:w="776" w:type="dxa"/>
            <w:vAlign w:val="top"/>
          </w:tcPr>
          <w:p w14:paraId="50C2801C">
            <w:pPr>
              <w:autoSpaceDE w:val="0"/>
              <w:autoSpaceDN w:val="0"/>
              <w:adjustRightInd w:val="0"/>
              <w:snapToGrid w:val="0"/>
              <w:jc w:val="left"/>
              <w:rPr>
                <w:rFonts w:ascii="宋体" w:hAnsi="宋体"/>
                <w:kern w:val="0"/>
                <w:szCs w:val="21"/>
                <w:highlight w:val="none"/>
              </w:rPr>
            </w:pPr>
          </w:p>
        </w:tc>
        <w:tc>
          <w:tcPr>
            <w:tcW w:w="2723" w:type="dxa"/>
            <w:vAlign w:val="top"/>
          </w:tcPr>
          <w:p w14:paraId="581E7D06">
            <w:pPr>
              <w:autoSpaceDE w:val="0"/>
              <w:autoSpaceDN w:val="0"/>
              <w:adjustRightInd w:val="0"/>
              <w:snapToGrid w:val="0"/>
              <w:jc w:val="left"/>
              <w:rPr>
                <w:rFonts w:ascii="宋体" w:hAnsi="宋体"/>
                <w:kern w:val="0"/>
                <w:szCs w:val="21"/>
                <w:highlight w:val="none"/>
              </w:rPr>
            </w:pPr>
          </w:p>
        </w:tc>
        <w:tc>
          <w:tcPr>
            <w:tcW w:w="896" w:type="dxa"/>
            <w:vAlign w:val="top"/>
          </w:tcPr>
          <w:p w14:paraId="2263A13B">
            <w:pPr>
              <w:autoSpaceDE w:val="0"/>
              <w:autoSpaceDN w:val="0"/>
              <w:adjustRightInd w:val="0"/>
              <w:snapToGrid w:val="0"/>
              <w:jc w:val="left"/>
              <w:rPr>
                <w:rFonts w:ascii="宋体" w:hAnsi="宋体"/>
                <w:kern w:val="0"/>
                <w:szCs w:val="21"/>
                <w:highlight w:val="none"/>
              </w:rPr>
            </w:pPr>
          </w:p>
        </w:tc>
      </w:tr>
      <w:tr w14:paraId="36D3D9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7B0A029E">
            <w:pPr>
              <w:autoSpaceDE w:val="0"/>
              <w:autoSpaceDN w:val="0"/>
              <w:adjustRightInd w:val="0"/>
              <w:snapToGrid w:val="0"/>
              <w:jc w:val="left"/>
              <w:rPr>
                <w:rFonts w:ascii="宋体" w:hAnsi="宋体"/>
                <w:kern w:val="0"/>
                <w:szCs w:val="21"/>
                <w:highlight w:val="none"/>
              </w:rPr>
            </w:pPr>
          </w:p>
        </w:tc>
        <w:tc>
          <w:tcPr>
            <w:tcW w:w="734" w:type="dxa"/>
            <w:vAlign w:val="top"/>
          </w:tcPr>
          <w:p w14:paraId="2AF8BF5F">
            <w:pPr>
              <w:autoSpaceDE w:val="0"/>
              <w:autoSpaceDN w:val="0"/>
              <w:adjustRightInd w:val="0"/>
              <w:snapToGrid w:val="0"/>
              <w:jc w:val="left"/>
              <w:rPr>
                <w:rFonts w:ascii="宋体" w:hAnsi="宋体"/>
                <w:kern w:val="0"/>
                <w:szCs w:val="21"/>
                <w:highlight w:val="none"/>
              </w:rPr>
            </w:pPr>
          </w:p>
        </w:tc>
        <w:tc>
          <w:tcPr>
            <w:tcW w:w="776" w:type="dxa"/>
            <w:vAlign w:val="top"/>
          </w:tcPr>
          <w:p w14:paraId="5E1292E2">
            <w:pPr>
              <w:autoSpaceDE w:val="0"/>
              <w:autoSpaceDN w:val="0"/>
              <w:adjustRightInd w:val="0"/>
              <w:snapToGrid w:val="0"/>
              <w:jc w:val="left"/>
              <w:rPr>
                <w:rFonts w:ascii="宋体" w:hAnsi="宋体"/>
                <w:kern w:val="0"/>
                <w:szCs w:val="21"/>
                <w:highlight w:val="none"/>
              </w:rPr>
            </w:pPr>
          </w:p>
        </w:tc>
        <w:tc>
          <w:tcPr>
            <w:tcW w:w="1167" w:type="dxa"/>
            <w:vAlign w:val="top"/>
          </w:tcPr>
          <w:p w14:paraId="040FCA07">
            <w:pPr>
              <w:autoSpaceDE w:val="0"/>
              <w:autoSpaceDN w:val="0"/>
              <w:adjustRightInd w:val="0"/>
              <w:snapToGrid w:val="0"/>
              <w:jc w:val="left"/>
              <w:rPr>
                <w:rFonts w:ascii="宋体" w:hAnsi="宋体"/>
                <w:kern w:val="0"/>
                <w:szCs w:val="21"/>
                <w:highlight w:val="none"/>
              </w:rPr>
            </w:pPr>
          </w:p>
        </w:tc>
        <w:tc>
          <w:tcPr>
            <w:tcW w:w="776" w:type="dxa"/>
            <w:vAlign w:val="top"/>
          </w:tcPr>
          <w:p w14:paraId="262E22BA">
            <w:pPr>
              <w:autoSpaceDE w:val="0"/>
              <w:autoSpaceDN w:val="0"/>
              <w:adjustRightInd w:val="0"/>
              <w:snapToGrid w:val="0"/>
              <w:jc w:val="left"/>
              <w:rPr>
                <w:rFonts w:ascii="宋体" w:hAnsi="宋体"/>
                <w:kern w:val="0"/>
                <w:szCs w:val="21"/>
                <w:highlight w:val="none"/>
              </w:rPr>
            </w:pPr>
          </w:p>
        </w:tc>
        <w:tc>
          <w:tcPr>
            <w:tcW w:w="778" w:type="dxa"/>
            <w:vAlign w:val="top"/>
          </w:tcPr>
          <w:p w14:paraId="41094601">
            <w:pPr>
              <w:autoSpaceDE w:val="0"/>
              <w:autoSpaceDN w:val="0"/>
              <w:adjustRightInd w:val="0"/>
              <w:snapToGrid w:val="0"/>
              <w:jc w:val="left"/>
              <w:rPr>
                <w:rFonts w:ascii="宋体" w:hAnsi="宋体"/>
                <w:kern w:val="0"/>
                <w:szCs w:val="21"/>
                <w:highlight w:val="none"/>
              </w:rPr>
            </w:pPr>
          </w:p>
        </w:tc>
        <w:tc>
          <w:tcPr>
            <w:tcW w:w="776" w:type="dxa"/>
            <w:vAlign w:val="top"/>
          </w:tcPr>
          <w:p w14:paraId="6734DB1A">
            <w:pPr>
              <w:autoSpaceDE w:val="0"/>
              <w:autoSpaceDN w:val="0"/>
              <w:adjustRightInd w:val="0"/>
              <w:snapToGrid w:val="0"/>
              <w:jc w:val="left"/>
              <w:rPr>
                <w:rFonts w:ascii="宋体" w:hAnsi="宋体"/>
                <w:kern w:val="0"/>
                <w:szCs w:val="21"/>
                <w:highlight w:val="none"/>
              </w:rPr>
            </w:pPr>
          </w:p>
        </w:tc>
        <w:tc>
          <w:tcPr>
            <w:tcW w:w="2723" w:type="dxa"/>
            <w:vAlign w:val="top"/>
          </w:tcPr>
          <w:p w14:paraId="40F439DF">
            <w:pPr>
              <w:autoSpaceDE w:val="0"/>
              <w:autoSpaceDN w:val="0"/>
              <w:adjustRightInd w:val="0"/>
              <w:snapToGrid w:val="0"/>
              <w:jc w:val="left"/>
              <w:rPr>
                <w:rFonts w:ascii="宋体" w:hAnsi="宋体"/>
                <w:kern w:val="0"/>
                <w:szCs w:val="21"/>
                <w:highlight w:val="none"/>
              </w:rPr>
            </w:pPr>
          </w:p>
        </w:tc>
        <w:tc>
          <w:tcPr>
            <w:tcW w:w="896" w:type="dxa"/>
            <w:vAlign w:val="top"/>
          </w:tcPr>
          <w:p w14:paraId="42BB607F">
            <w:pPr>
              <w:autoSpaceDE w:val="0"/>
              <w:autoSpaceDN w:val="0"/>
              <w:adjustRightInd w:val="0"/>
              <w:snapToGrid w:val="0"/>
              <w:jc w:val="left"/>
              <w:rPr>
                <w:rFonts w:ascii="宋体" w:hAnsi="宋体"/>
                <w:kern w:val="0"/>
                <w:szCs w:val="21"/>
                <w:highlight w:val="none"/>
              </w:rPr>
            </w:pPr>
          </w:p>
        </w:tc>
      </w:tr>
      <w:tr w14:paraId="5E92A7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FF6B7E8">
            <w:pPr>
              <w:autoSpaceDE w:val="0"/>
              <w:autoSpaceDN w:val="0"/>
              <w:adjustRightInd w:val="0"/>
              <w:snapToGrid w:val="0"/>
              <w:jc w:val="left"/>
              <w:rPr>
                <w:rFonts w:ascii="宋体" w:hAnsi="宋体"/>
                <w:kern w:val="0"/>
                <w:szCs w:val="21"/>
                <w:highlight w:val="none"/>
              </w:rPr>
            </w:pPr>
          </w:p>
        </w:tc>
        <w:tc>
          <w:tcPr>
            <w:tcW w:w="734" w:type="dxa"/>
            <w:vAlign w:val="top"/>
          </w:tcPr>
          <w:p w14:paraId="76FE6ABF">
            <w:pPr>
              <w:autoSpaceDE w:val="0"/>
              <w:autoSpaceDN w:val="0"/>
              <w:adjustRightInd w:val="0"/>
              <w:snapToGrid w:val="0"/>
              <w:jc w:val="left"/>
              <w:rPr>
                <w:rFonts w:ascii="宋体" w:hAnsi="宋体"/>
                <w:kern w:val="0"/>
                <w:szCs w:val="21"/>
                <w:highlight w:val="none"/>
              </w:rPr>
            </w:pPr>
          </w:p>
        </w:tc>
        <w:tc>
          <w:tcPr>
            <w:tcW w:w="776" w:type="dxa"/>
            <w:vAlign w:val="top"/>
          </w:tcPr>
          <w:p w14:paraId="781BD591">
            <w:pPr>
              <w:autoSpaceDE w:val="0"/>
              <w:autoSpaceDN w:val="0"/>
              <w:adjustRightInd w:val="0"/>
              <w:snapToGrid w:val="0"/>
              <w:jc w:val="left"/>
              <w:rPr>
                <w:rFonts w:ascii="宋体" w:hAnsi="宋体"/>
                <w:kern w:val="0"/>
                <w:szCs w:val="21"/>
                <w:highlight w:val="none"/>
              </w:rPr>
            </w:pPr>
          </w:p>
        </w:tc>
        <w:tc>
          <w:tcPr>
            <w:tcW w:w="1167" w:type="dxa"/>
            <w:vAlign w:val="top"/>
          </w:tcPr>
          <w:p w14:paraId="50DE83E1">
            <w:pPr>
              <w:autoSpaceDE w:val="0"/>
              <w:autoSpaceDN w:val="0"/>
              <w:adjustRightInd w:val="0"/>
              <w:snapToGrid w:val="0"/>
              <w:jc w:val="left"/>
              <w:rPr>
                <w:rFonts w:ascii="宋体" w:hAnsi="宋体"/>
                <w:kern w:val="0"/>
                <w:szCs w:val="21"/>
                <w:highlight w:val="none"/>
              </w:rPr>
            </w:pPr>
          </w:p>
        </w:tc>
        <w:tc>
          <w:tcPr>
            <w:tcW w:w="776" w:type="dxa"/>
            <w:vAlign w:val="top"/>
          </w:tcPr>
          <w:p w14:paraId="26D91E42">
            <w:pPr>
              <w:autoSpaceDE w:val="0"/>
              <w:autoSpaceDN w:val="0"/>
              <w:adjustRightInd w:val="0"/>
              <w:snapToGrid w:val="0"/>
              <w:jc w:val="left"/>
              <w:rPr>
                <w:rFonts w:ascii="宋体" w:hAnsi="宋体"/>
                <w:kern w:val="0"/>
                <w:szCs w:val="21"/>
                <w:highlight w:val="none"/>
              </w:rPr>
            </w:pPr>
          </w:p>
        </w:tc>
        <w:tc>
          <w:tcPr>
            <w:tcW w:w="778" w:type="dxa"/>
            <w:vAlign w:val="top"/>
          </w:tcPr>
          <w:p w14:paraId="42E3A09C">
            <w:pPr>
              <w:autoSpaceDE w:val="0"/>
              <w:autoSpaceDN w:val="0"/>
              <w:adjustRightInd w:val="0"/>
              <w:snapToGrid w:val="0"/>
              <w:jc w:val="left"/>
              <w:rPr>
                <w:rFonts w:ascii="宋体" w:hAnsi="宋体"/>
                <w:kern w:val="0"/>
                <w:szCs w:val="21"/>
                <w:highlight w:val="none"/>
              </w:rPr>
            </w:pPr>
          </w:p>
        </w:tc>
        <w:tc>
          <w:tcPr>
            <w:tcW w:w="776" w:type="dxa"/>
            <w:vAlign w:val="top"/>
          </w:tcPr>
          <w:p w14:paraId="7EDB2AB1">
            <w:pPr>
              <w:autoSpaceDE w:val="0"/>
              <w:autoSpaceDN w:val="0"/>
              <w:adjustRightInd w:val="0"/>
              <w:snapToGrid w:val="0"/>
              <w:jc w:val="left"/>
              <w:rPr>
                <w:rFonts w:ascii="宋体" w:hAnsi="宋体"/>
                <w:kern w:val="0"/>
                <w:szCs w:val="21"/>
                <w:highlight w:val="none"/>
              </w:rPr>
            </w:pPr>
          </w:p>
        </w:tc>
        <w:tc>
          <w:tcPr>
            <w:tcW w:w="2723" w:type="dxa"/>
            <w:vAlign w:val="top"/>
          </w:tcPr>
          <w:p w14:paraId="2DDD32E4">
            <w:pPr>
              <w:autoSpaceDE w:val="0"/>
              <w:autoSpaceDN w:val="0"/>
              <w:adjustRightInd w:val="0"/>
              <w:snapToGrid w:val="0"/>
              <w:jc w:val="left"/>
              <w:rPr>
                <w:rFonts w:ascii="宋体" w:hAnsi="宋体"/>
                <w:kern w:val="0"/>
                <w:szCs w:val="21"/>
                <w:highlight w:val="none"/>
              </w:rPr>
            </w:pPr>
          </w:p>
        </w:tc>
        <w:tc>
          <w:tcPr>
            <w:tcW w:w="896" w:type="dxa"/>
            <w:vAlign w:val="top"/>
          </w:tcPr>
          <w:p w14:paraId="73DC504D">
            <w:pPr>
              <w:autoSpaceDE w:val="0"/>
              <w:autoSpaceDN w:val="0"/>
              <w:adjustRightInd w:val="0"/>
              <w:snapToGrid w:val="0"/>
              <w:jc w:val="left"/>
              <w:rPr>
                <w:rFonts w:ascii="宋体" w:hAnsi="宋体"/>
                <w:kern w:val="0"/>
                <w:szCs w:val="21"/>
                <w:highlight w:val="none"/>
              </w:rPr>
            </w:pPr>
          </w:p>
        </w:tc>
      </w:tr>
      <w:tr w14:paraId="126672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EC44BA2">
            <w:pPr>
              <w:autoSpaceDE w:val="0"/>
              <w:autoSpaceDN w:val="0"/>
              <w:adjustRightInd w:val="0"/>
              <w:snapToGrid w:val="0"/>
              <w:jc w:val="left"/>
              <w:rPr>
                <w:rFonts w:ascii="宋体" w:hAnsi="宋体"/>
                <w:kern w:val="0"/>
                <w:szCs w:val="21"/>
                <w:highlight w:val="none"/>
              </w:rPr>
            </w:pPr>
          </w:p>
        </w:tc>
        <w:tc>
          <w:tcPr>
            <w:tcW w:w="734" w:type="dxa"/>
            <w:vAlign w:val="top"/>
          </w:tcPr>
          <w:p w14:paraId="15035F26">
            <w:pPr>
              <w:autoSpaceDE w:val="0"/>
              <w:autoSpaceDN w:val="0"/>
              <w:adjustRightInd w:val="0"/>
              <w:snapToGrid w:val="0"/>
              <w:jc w:val="left"/>
              <w:rPr>
                <w:rFonts w:ascii="宋体" w:hAnsi="宋体"/>
                <w:kern w:val="0"/>
                <w:szCs w:val="21"/>
                <w:highlight w:val="none"/>
              </w:rPr>
            </w:pPr>
          </w:p>
        </w:tc>
        <w:tc>
          <w:tcPr>
            <w:tcW w:w="776" w:type="dxa"/>
            <w:vAlign w:val="top"/>
          </w:tcPr>
          <w:p w14:paraId="773CCA85">
            <w:pPr>
              <w:autoSpaceDE w:val="0"/>
              <w:autoSpaceDN w:val="0"/>
              <w:adjustRightInd w:val="0"/>
              <w:snapToGrid w:val="0"/>
              <w:jc w:val="left"/>
              <w:rPr>
                <w:rFonts w:ascii="宋体" w:hAnsi="宋体"/>
                <w:kern w:val="0"/>
                <w:szCs w:val="21"/>
                <w:highlight w:val="none"/>
              </w:rPr>
            </w:pPr>
          </w:p>
        </w:tc>
        <w:tc>
          <w:tcPr>
            <w:tcW w:w="1167" w:type="dxa"/>
            <w:vAlign w:val="top"/>
          </w:tcPr>
          <w:p w14:paraId="3C40FA2C">
            <w:pPr>
              <w:autoSpaceDE w:val="0"/>
              <w:autoSpaceDN w:val="0"/>
              <w:adjustRightInd w:val="0"/>
              <w:snapToGrid w:val="0"/>
              <w:jc w:val="left"/>
              <w:rPr>
                <w:rFonts w:ascii="宋体" w:hAnsi="宋体"/>
                <w:kern w:val="0"/>
                <w:szCs w:val="21"/>
                <w:highlight w:val="none"/>
              </w:rPr>
            </w:pPr>
          </w:p>
        </w:tc>
        <w:tc>
          <w:tcPr>
            <w:tcW w:w="776" w:type="dxa"/>
            <w:vAlign w:val="top"/>
          </w:tcPr>
          <w:p w14:paraId="5AEED916">
            <w:pPr>
              <w:autoSpaceDE w:val="0"/>
              <w:autoSpaceDN w:val="0"/>
              <w:adjustRightInd w:val="0"/>
              <w:snapToGrid w:val="0"/>
              <w:jc w:val="left"/>
              <w:rPr>
                <w:rFonts w:ascii="宋体" w:hAnsi="宋体"/>
                <w:kern w:val="0"/>
                <w:szCs w:val="21"/>
                <w:highlight w:val="none"/>
              </w:rPr>
            </w:pPr>
          </w:p>
        </w:tc>
        <w:tc>
          <w:tcPr>
            <w:tcW w:w="778" w:type="dxa"/>
            <w:vAlign w:val="top"/>
          </w:tcPr>
          <w:p w14:paraId="61475A0C">
            <w:pPr>
              <w:autoSpaceDE w:val="0"/>
              <w:autoSpaceDN w:val="0"/>
              <w:adjustRightInd w:val="0"/>
              <w:snapToGrid w:val="0"/>
              <w:jc w:val="left"/>
              <w:rPr>
                <w:rFonts w:ascii="宋体" w:hAnsi="宋体"/>
                <w:kern w:val="0"/>
                <w:szCs w:val="21"/>
                <w:highlight w:val="none"/>
              </w:rPr>
            </w:pPr>
          </w:p>
        </w:tc>
        <w:tc>
          <w:tcPr>
            <w:tcW w:w="776" w:type="dxa"/>
            <w:vAlign w:val="top"/>
          </w:tcPr>
          <w:p w14:paraId="3A70E271">
            <w:pPr>
              <w:autoSpaceDE w:val="0"/>
              <w:autoSpaceDN w:val="0"/>
              <w:adjustRightInd w:val="0"/>
              <w:snapToGrid w:val="0"/>
              <w:jc w:val="left"/>
              <w:rPr>
                <w:rFonts w:ascii="宋体" w:hAnsi="宋体"/>
                <w:kern w:val="0"/>
                <w:szCs w:val="21"/>
                <w:highlight w:val="none"/>
              </w:rPr>
            </w:pPr>
          </w:p>
        </w:tc>
        <w:tc>
          <w:tcPr>
            <w:tcW w:w="2723" w:type="dxa"/>
            <w:vAlign w:val="top"/>
          </w:tcPr>
          <w:p w14:paraId="089313B5">
            <w:pPr>
              <w:autoSpaceDE w:val="0"/>
              <w:autoSpaceDN w:val="0"/>
              <w:adjustRightInd w:val="0"/>
              <w:snapToGrid w:val="0"/>
              <w:jc w:val="left"/>
              <w:rPr>
                <w:rFonts w:ascii="宋体" w:hAnsi="宋体"/>
                <w:kern w:val="0"/>
                <w:szCs w:val="21"/>
                <w:highlight w:val="none"/>
              </w:rPr>
            </w:pPr>
          </w:p>
        </w:tc>
        <w:tc>
          <w:tcPr>
            <w:tcW w:w="896" w:type="dxa"/>
            <w:vAlign w:val="top"/>
          </w:tcPr>
          <w:p w14:paraId="614E3337">
            <w:pPr>
              <w:autoSpaceDE w:val="0"/>
              <w:autoSpaceDN w:val="0"/>
              <w:adjustRightInd w:val="0"/>
              <w:snapToGrid w:val="0"/>
              <w:jc w:val="left"/>
              <w:rPr>
                <w:rFonts w:ascii="宋体" w:hAnsi="宋体"/>
                <w:kern w:val="0"/>
                <w:szCs w:val="21"/>
                <w:highlight w:val="none"/>
              </w:rPr>
            </w:pPr>
          </w:p>
        </w:tc>
      </w:tr>
      <w:tr w14:paraId="6CC699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50E6453">
            <w:pPr>
              <w:autoSpaceDE w:val="0"/>
              <w:autoSpaceDN w:val="0"/>
              <w:adjustRightInd w:val="0"/>
              <w:snapToGrid w:val="0"/>
              <w:jc w:val="left"/>
              <w:rPr>
                <w:rFonts w:ascii="宋体" w:hAnsi="宋体"/>
                <w:kern w:val="0"/>
                <w:szCs w:val="21"/>
                <w:highlight w:val="none"/>
              </w:rPr>
            </w:pPr>
          </w:p>
        </w:tc>
        <w:tc>
          <w:tcPr>
            <w:tcW w:w="734" w:type="dxa"/>
            <w:vAlign w:val="top"/>
          </w:tcPr>
          <w:p w14:paraId="48654F75">
            <w:pPr>
              <w:autoSpaceDE w:val="0"/>
              <w:autoSpaceDN w:val="0"/>
              <w:adjustRightInd w:val="0"/>
              <w:snapToGrid w:val="0"/>
              <w:jc w:val="left"/>
              <w:rPr>
                <w:rFonts w:ascii="宋体" w:hAnsi="宋体"/>
                <w:kern w:val="0"/>
                <w:szCs w:val="21"/>
                <w:highlight w:val="none"/>
              </w:rPr>
            </w:pPr>
          </w:p>
        </w:tc>
        <w:tc>
          <w:tcPr>
            <w:tcW w:w="776" w:type="dxa"/>
            <w:vAlign w:val="top"/>
          </w:tcPr>
          <w:p w14:paraId="37B82A91">
            <w:pPr>
              <w:autoSpaceDE w:val="0"/>
              <w:autoSpaceDN w:val="0"/>
              <w:adjustRightInd w:val="0"/>
              <w:snapToGrid w:val="0"/>
              <w:jc w:val="left"/>
              <w:rPr>
                <w:rFonts w:ascii="宋体" w:hAnsi="宋体"/>
                <w:kern w:val="0"/>
                <w:szCs w:val="21"/>
                <w:highlight w:val="none"/>
              </w:rPr>
            </w:pPr>
          </w:p>
        </w:tc>
        <w:tc>
          <w:tcPr>
            <w:tcW w:w="1167" w:type="dxa"/>
            <w:vAlign w:val="top"/>
          </w:tcPr>
          <w:p w14:paraId="419CFE6A">
            <w:pPr>
              <w:autoSpaceDE w:val="0"/>
              <w:autoSpaceDN w:val="0"/>
              <w:adjustRightInd w:val="0"/>
              <w:snapToGrid w:val="0"/>
              <w:jc w:val="left"/>
              <w:rPr>
                <w:rFonts w:ascii="宋体" w:hAnsi="宋体"/>
                <w:kern w:val="0"/>
                <w:szCs w:val="21"/>
                <w:highlight w:val="none"/>
              </w:rPr>
            </w:pPr>
          </w:p>
        </w:tc>
        <w:tc>
          <w:tcPr>
            <w:tcW w:w="776" w:type="dxa"/>
            <w:vAlign w:val="top"/>
          </w:tcPr>
          <w:p w14:paraId="53F909B6">
            <w:pPr>
              <w:autoSpaceDE w:val="0"/>
              <w:autoSpaceDN w:val="0"/>
              <w:adjustRightInd w:val="0"/>
              <w:snapToGrid w:val="0"/>
              <w:jc w:val="left"/>
              <w:rPr>
                <w:rFonts w:ascii="宋体" w:hAnsi="宋体"/>
                <w:kern w:val="0"/>
                <w:szCs w:val="21"/>
                <w:highlight w:val="none"/>
              </w:rPr>
            </w:pPr>
          </w:p>
        </w:tc>
        <w:tc>
          <w:tcPr>
            <w:tcW w:w="778" w:type="dxa"/>
            <w:vAlign w:val="top"/>
          </w:tcPr>
          <w:p w14:paraId="6EC3956D">
            <w:pPr>
              <w:autoSpaceDE w:val="0"/>
              <w:autoSpaceDN w:val="0"/>
              <w:adjustRightInd w:val="0"/>
              <w:snapToGrid w:val="0"/>
              <w:jc w:val="left"/>
              <w:rPr>
                <w:rFonts w:ascii="宋体" w:hAnsi="宋体"/>
                <w:kern w:val="0"/>
                <w:szCs w:val="21"/>
                <w:highlight w:val="none"/>
              </w:rPr>
            </w:pPr>
          </w:p>
        </w:tc>
        <w:tc>
          <w:tcPr>
            <w:tcW w:w="776" w:type="dxa"/>
            <w:vAlign w:val="top"/>
          </w:tcPr>
          <w:p w14:paraId="664EED53">
            <w:pPr>
              <w:autoSpaceDE w:val="0"/>
              <w:autoSpaceDN w:val="0"/>
              <w:adjustRightInd w:val="0"/>
              <w:snapToGrid w:val="0"/>
              <w:jc w:val="left"/>
              <w:rPr>
                <w:rFonts w:ascii="宋体" w:hAnsi="宋体"/>
                <w:kern w:val="0"/>
                <w:szCs w:val="21"/>
                <w:highlight w:val="none"/>
              </w:rPr>
            </w:pPr>
          </w:p>
        </w:tc>
        <w:tc>
          <w:tcPr>
            <w:tcW w:w="2723" w:type="dxa"/>
            <w:vAlign w:val="top"/>
          </w:tcPr>
          <w:p w14:paraId="5F3F65EA">
            <w:pPr>
              <w:autoSpaceDE w:val="0"/>
              <w:autoSpaceDN w:val="0"/>
              <w:adjustRightInd w:val="0"/>
              <w:snapToGrid w:val="0"/>
              <w:jc w:val="left"/>
              <w:rPr>
                <w:rFonts w:ascii="宋体" w:hAnsi="宋体"/>
                <w:kern w:val="0"/>
                <w:szCs w:val="21"/>
                <w:highlight w:val="none"/>
              </w:rPr>
            </w:pPr>
          </w:p>
        </w:tc>
        <w:tc>
          <w:tcPr>
            <w:tcW w:w="896" w:type="dxa"/>
            <w:vAlign w:val="top"/>
          </w:tcPr>
          <w:p w14:paraId="1014B87A">
            <w:pPr>
              <w:autoSpaceDE w:val="0"/>
              <w:autoSpaceDN w:val="0"/>
              <w:adjustRightInd w:val="0"/>
              <w:snapToGrid w:val="0"/>
              <w:jc w:val="left"/>
              <w:rPr>
                <w:rFonts w:ascii="宋体" w:hAnsi="宋体"/>
                <w:kern w:val="0"/>
                <w:szCs w:val="21"/>
                <w:highlight w:val="none"/>
              </w:rPr>
            </w:pPr>
          </w:p>
        </w:tc>
      </w:tr>
      <w:tr w14:paraId="297C2E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52B04419">
            <w:pPr>
              <w:autoSpaceDE w:val="0"/>
              <w:autoSpaceDN w:val="0"/>
              <w:adjustRightInd w:val="0"/>
              <w:snapToGrid w:val="0"/>
              <w:jc w:val="left"/>
              <w:rPr>
                <w:rFonts w:ascii="宋体" w:hAnsi="宋体"/>
                <w:kern w:val="0"/>
                <w:szCs w:val="21"/>
                <w:highlight w:val="none"/>
              </w:rPr>
            </w:pPr>
          </w:p>
        </w:tc>
        <w:tc>
          <w:tcPr>
            <w:tcW w:w="734" w:type="dxa"/>
            <w:vAlign w:val="top"/>
          </w:tcPr>
          <w:p w14:paraId="6FEAAF28">
            <w:pPr>
              <w:autoSpaceDE w:val="0"/>
              <w:autoSpaceDN w:val="0"/>
              <w:adjustRightInd w:val="0"/>
              <w:snapToGrid w:val="0"/>
              <w:jc w:val="left"/>
              <w:rPr>
                <w:rFonts w:ascii="宋体" w:hAnsi="宋体"/>
                <w:kern w:val="0"/>
                <w:szCs w:val="21"/>
                <w:highlight w:val="none"/>
              </w:rPr>
            </w:pPr>
          </w:p>
        </w:tc>
        <w:tc>
          <w:tcPr>
            <w:tcW w:w="776" w:type="dxa"/>
            <w:vAlign w:val="top"/>
          </w:tcPr>
          <w:p w14:paraId="07C18763">
            <w:pPr>
              <w:autoSpaceDE w:val="0"/>
              <w:autoSpaceDN w:val="0"/>
              <w:adjustRightInd w:val="0"/>
              <w:snapToGrid w:val="0"/>
              <w:jc w:val="left"/>
              <w:rPr>
                <w:rFonts w:ascii="宋体" w:hAnsi="宋体"/>
                <w:kern w:val="0"/>
                <w:szCs w:val="21"/>
                <w:highlight w:val="none"/>
              </w:rPr>
            </w:pPr>
          </w:p>
        </w:tc>
        <w:tc>
          <w:tcPr>
            <w:tcW w:w="1167" w:type="dxa"/>
            <w:vAlign w:val="top"/>
          </w:tcPr>
          <w:p w14:paraId="362B89D7">
            <w:pPr>
              <w:autoSpaceDE w:val="0"/>
              <w:autoSpaceDN w:val="0"/>
              <w:adjustRightInd w:val="0"/>
              <w:snapToGrid w:val="0"/>
              <w:jc w:val="left"/>
              <w:rPr>
                <w:rFonts w:ascii="宋体" w:hAnsi="宋体"/>
                <w:kern w:val="0"/>
                <w:szCs w:val="21"/>
                <w:highlight w:val="none"/>
              </w:rPr>
            </w:pPr>
          </w:p>
        </w:tc>
        <w:tc>
          <w:tcPr>
            <w:tcW w:w="776" w:type="dxa"/>
            <w:vAlign w:val="top"/>
          </w:tcPr>
          <w:p w14:paraId="67C67721">
            <w:pPr>
              <w:autoSpaceDE w:val="0"/>
              <w:autoSpaceDN w:val="0"/>
              <w:adjustRightInd w:val="0"/>
              <w:snapToGrid w:val="0"/>
              <w:jc w:val="left"/>
              <w:rPr>
                <w:rFonts w:ascii="宋体" w:hAnsi="宋体"/>
                <w:kern w:val="0"/>
                <w:szCs w:val="21"/>
                <w:highlight w:val="none"/>
              </w:rPr>
            </w:pPr>
          </w:p>
        </w:tc>
        <w:tc>
          <w:tcPr>
            <w:tcW w:w="778" w:type="dxa"/>
            <w:vAlign w:val="top"/>
          </w:tcPr>
          <w:p w14:paraId="277E9F78">
            <w:pPr>
              <w:autoSpaceDE w:val="0"/>
              <w:autoSpaceDN w:val="0"/>
              <w:adjustRightInd w:val="0"/>
              <w:snapToGrid w:val="0"/>
              <w:jc w:val="left"/>
              <w:rPr>
                <w:rFonts w:ascii="宋体" w:hAnsi="宋体"/>
                <w:kern w:val="0"/>
                <w:szCs w:val="21"/>
                <w:highlight w:val="none"/>
              </w:rPr>
            </w:pPr>
          </w:p>
        </w:tc>
        <w:tc>
          <w:tcPr>
            <w:tcW w:w="776" w:type="dxa"/>
            <w:vAlign w:val="top"/>
          </w:tcPr>
          <w:p w14:paraId="6DA4B132">
            <w:pPr>
              <w:autoSpaceDE w:val="0"/>
              <w:autoSpaceDN w:val="0"/>
              <w:adjustRightInd w:val="0"/>
              <w:snapToGrid w:val="0"/>
              <w:jc w:val="left"/>
              <w:rPr>
                <w:rFonts w:ascii="宋体" w:hAnsi="宋体"/>
                <w:kern w:val="0"/>
                <w:szCs w:val="21"/>
                <w:highlight w:val="none"/>
              </w:rPr>
            </w:pPr>
          </w:p>
        </w:tc>
        <w:tc>
          <w:tcPr>
            <w:tcW w:w="2723" w:type="dxa"/>
            <w:vAlign w:val="top"/>
          </w:tcPr>
          <w:p w14:paraId="6C59A226">
            <w:pPr>
              <w:autoSpaceDE w:val="0"/>
              <w:autoSpaceDN w:val="0"/>
              <w:adjustRightInd w:val="0"/>
              <w:snapToGrid w:val="0"/>
              <w:jc w:val="left"/>
              <w:rPr>
                <w:rFonts w:ascii="宋体" w:hAnsi="宋体"/>
                <w:kern w:val="0"/>
                <w:szCs w:val="21"/>
                <w:highlight w:val="none"/>
              </w:rPr>
            </w:pPr>
          </w:p>
        </w:tc>
        <w:tc>
          <w:tcPr>
            <w:tcW w:w="896" w:type="dxa"/>
            <w:vAlign w:val="top"/>
          </w:tcPr>
          <w:p w14:paraId="5C2BBB19">
            <w:pPr>
              <w:autoSpaceDE w:val="0"/>
              <w:autoSpaceDN w:val="0"/>
              <w:adjustRightInd w:val="0"/>
              <w:snapToGrid w:val="0"/>
              <w:jc w:val="left"/>
              <w:rPr>
                <w:rFonts w:ascii="宋体" w:hAnsi="宋体"/>
                <w:kern w:val="0"/>
                <w:szCs w:val="21"/>
                <w:highlight w:val="none"/>
              </w:rPr>
            </w:pPr>
          </w:p>
        </w:tc>
      </w:tr>
      <w:tr w14:paraId="547BBF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C4BA576">
            <w:pPr>
              <w:autoSpaceDE w:val="0"/>
              <w:autoSpaceDN w:val="0"/>
              <w:adjustRightInd w:val="0"/>
              <w:snapToGrid w:val="0"/>
              <w:jc w:val="left"/>
              <w:rPr>
                <w:rFonts w:ascii="宋体" w:hAnsi="宋体"/>
                <w:kern w:val="0"/>
                <w:szCs w:val="21"/>
                <w:highlight w:val="none"/>
              </w:rPr>
            </w:pPr>
          </w:p>
        </w:tc>
        <w:tc>
          <w:tcPr>
            <w:tcW w:w="734" w:type="dxa"/>
            <w:vAlign w:val="top"/>
          </w:tcPr>
          <w:p w14:paraId="00307BEA">
            <w:pPr>
              <w:autoSpaceDE w:val="0"/>
              <w:autoSpaceDN w:val="0"/>
              <w:adjustRightInd w:val="0"/>
              <w:snapToGrid w:val="0"/>
              <w:jc w:val="left"/>
              <w:rPr>
                <w:rFonts w:ascii="宋体" w:hAnsi="宋体"/>
                <w:kern w:val="0"/>
                <w:szCs w:val="21"/>
                <w:highlight w:val="none"/>
              </w:rPr>
            </w:pPr>
          </w:p>
        </w:tc>
        <w:tc>
          <w:tcPr>
            <w:tcW w:w="776" w:type="dxa"/>
            <w:vAlign w:val="top"/>
          </w:tcPr>
          <w:p w14:paraId="2E2C745E">
            <w:pPr>
              <w:autoSpaceDE w:val="0"/>
              <w:autoSpaceDN w:val="0"/>
              <w:adjustRightInd w:val="0"/>
              <w:snapToGrid w:val="0"/>
              <w:jc w:val="left"/>
              <w:rPr>
                <w:rFonts w:ascii="宋体" w:hAnsi="宋体"/>
                <w:kern w:val="0"/>
                <w:szCs w:val="21"/>
                <w:highlight w:val="none"/>
              </w:rPr>
            </w:pPr>
          </w:p>
        </w:tc>
        <w:tc>
          <w:tcPr>
            <w:tcW w:w="1167" w:type="dxa"/>
            <w:vAlign w:val="top"/>
          </w:tcPr>
          <w:p w14:paraId="756B388A">
            <w:pPr>
              <w:autoSpaceDE w:val="0"/>
              <w:autoSpaceDN w:val="0"/>
              <w:adjustRightInd w:val="0"/>
              <w:snapToGrid w:val="0"/>
              <w:jc w:val="left"/>
              <w:rPr>
                <w:rFonts w:ascii="宋体" w:hAnsi="宋体"/>
                <w:kern w:val="0"/>
                <w:szCs w:val="21"/>
                <w:highlight w:val="none"/>
              </w:rPr>
            </w:pPr>
          </w:p>
        </w:tc>
        <w:tc>
          <w:tcPr>
            <w:tcW w:w="776" w:type="dxa"/>
            <w:vAlign w:val="top"/>
          </w:tcPr>
          <w:p w14:paraId="3BC9851F">
            <w:pPr>
              <w:autoSpaceDE w:val="0"/>
              <w:autoSpaceDN w:val="0"/>
              <w:adjustRightInd w:val="0"/>
              <w:snapToGrid w:val="0"/>
              <w:jc w:val="left"/>
              <w:rPr>
                <w:rFonts w:ascii="宋体" w:hAnsi="宋体"/>
                <w:kern w:val="0"/>
                <w:szCs w:val="21"/>
                <w:highlight w:val="none"/>
              </w:rPr>
            </w:pPr>
          </w:p>
        </w:tc>
        <w:tc>
          <w:tcPr>
            <w:tcW w:w="778" w:type="dxa"/>
            <w:vAlign w:val="top"/>
          </w:tcPr>
          <w:p w14:paraId="75466AEB">
            <w:pPr>
              <w:autoSpaceDE w:val="0"/>
              <w:autoSpaceDN w:val="0"/>
              <w:adjustRightInd w:val="0"/>
              <w:snapToGrid w:val="0"/>
              <w:jc w:val="left"/>
              <w:rPr>
                <w:rFonts w:ascii="宋体" w:hAnsi="宋体"/>
                <w:kern w:val="0"/>
                <w:szCs w:val="21"/>
                <w:highlight w:val="none"/>
              </w:rPr>
            </w:pPr>
          </w:p>
        </w:tc>
        <w:tc>
          <w:tcPr>
            <w:tcW w:w="776" w:type="dxa"/>
            <w:vAlign w:val="top"/>
          </w:tcPr>
          <w:p w14:paraId="63C0B8A0">
            <w:pPr>
              <w:autoSpaceDE w:val="0"/>
              <w:autoSpaceDN w:val="0"/>
              <w:adjustRightInd w:val="0"/>
              <w:snapToGrid w:val="0"/>
              <w:jc w:val="left"/>
              <w:rPr>
                <w:rFonts w:ascii="宋体" w:hAnsi="宋体"/>
                <w:kern w:val="0"/>
                <w:szCs w:val="21"/>
                <w:highlight w:val="none"/>
              </w:rPr>
            </w:pPr>
          </w:p>
        </w:tc>
        <w:tc>
          <w:tcPr>
            <w:tcW w:w="2723" w:type="dxa"/>
            <w:vAlign w:val="top"/>
          </w:tcPr>
          <w:p w14:paraId="44FF1B64">
            <w:pPr>
              <w:autoSpaceDE w:val="0"/>
              <w:autoSpaceDN w:val="0"/>
              <w:adjustRightInd w:val="0"/>
              <w:snapToGrid w:val="0"/>
              <w:jc w:val="left"/>
              <w:rPr>
                <w:rFonts w:ascii="宋体" w:hAnsi="宋体"/>
                <w:kern w:val="0"/>
                <w:szCs w:val="21"/>
                <w:highlight w:val="none"/>
              </w:rPr>
            </w:pPr>
          </w:p>
        </w:tc>
        <w:tc>
          <w:tcPr>
            <w:tcW w:w="896" w:type="dxa"/>
            <w:vAlign w:val="top"/>
          </w:tcPr>
          <w:p w14:paraId="5CAE4DE0">
            <w:pPr>
              <w:autoSpaceDE w:val="0"/>
              <w:autoSpaceDN w:val="0"/>
              <w:adjustRightInd w:val="0"/>
              <w:snapToGrid w:val="0"/>
              <w:jc w:val="left"/>
              <w:rPr>
                <w:rFonts w:ascii="宋体" w:hAnsi="宋体"/>
                <w:kern w:val="0"/>
                <w:szCs w:val="21"/>
                <w:highlight w:val="none"/>
              </w:rPr>
            </w:pPr>
          </w:p>
        </w:tc>
      </w:tr>
      <w:tr w14:paraId="2FA79D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72BB672">
            <w:pPr>
              <w:autoSpaceDE w:val="0"/>
              <w:autoSpaceDN w:val="0"/>
              <w:adjustRightInd w:val="0"/>
              <w:snapToGrid w:val="0"/>
              <w:jc w:val="left"/>
              <w:rPr>
                <w:rFonts w:ascii="宋体" w:hAnsi="宋体"/>
                <w:kern w:val="0"/>
                <w:szCs w:val="21"/>
                <w:highlight w:val="none"/>
              </w:rPr>
            </w:pPr>
          </w:p>
        </w:tc>
        <w:tc>
          <w:tcPr>
            <w:tcW w:w="734" w:type="dxa"/>
            <w:vAlign w:val="top"/>
          </w:tcPr>
          <w:p w14:paraId="5C9B03ED">
            <w:pPr>
              <w:autoSpaceDE w:val="0"/>
              <w:autoSpaceDN w:val="0"/>
              <w:adjustRightInd w:val="0"/>
              <w:snapToGrid w:val="0"/>
              <w:jc w:val="left"/>
              <w:rPr>
                <w:rFonts w:ascii="宋体" w:hAnsi="宋体"/>
                <w:kern w:val="0"/>
                <w:szCs w:val="21"/>
                <w:highlight w:val="none"/>
              </w:rPr>
            </w:pPr>
          </w:p>
        </w:tc>
        <w:tc>
          <w:tcPr>
            <w:tcW w:w="776" w:type="dxa"/>
            <w:vAlign w:val="top"/>
          </w:tcPr>
          <w:p w14:paraId="5B4F5049">
            <w:pPr>
              <w:autoSpaceDE w:val="0"/>
              <w:autoSpaceDN w:val="0"/>
              <w:adjustRightInd w:val="0"/>
              <w:snapToGrid w:val="0"/>
              <w:jc w:val="left"/>
              <w:rPr>
                <w:rFonts w:ascii="宋体" w:hAnsi="宋体"/>
                <w:kern w:val="0"/>
                <w:szCs w:val="21"/>
                <w:highlight w:val="none"/>
              </w:rPr>
            </w:pPr>
          </w:p>
        </w:tc>
        <w:tc>
          <w:tcPr>
            <w:tcW w:w="1167" w:type="dxa"/>
            <w:vAlign w:val="top"/>
          </w:tcPr>
          <w:p w14:paraId="68CC313C">
            <w:pPr>
              <w:autoSpaceDE w:val="0"/>
              <w:autoSpaceDN w:val="0"/>
              <w:adjustRightInd w:val="0"/>
              <w:snapToGrid w:val="0"/>
              <w:jc w:val="left"/>
              <w:rPr>
                <w:rFonts w:ascii="宋体" w:hAnsi="宋体"/>
                <w:kern w:val="0"/>
                <w:szCs w:val="21"/>
                <w:highlight w:val="none"/>
              </w:rPr>
            </w:pPr>
          </w:p>
        </w:tc>
        <w:tc>
          <w:tcPr>
            <w:tcW w:w="776" w:type="dxa"/>
            <w:vAlign w:val="top"/>
          </w:tcPr>
          <w:p w14:paraId="0B282F2C">
            <w:pPr>
              <w:autoSpaceDE w:val="0"/>
              <w:autoSpaceDN w:val="0"/>
              <w:adjustRightInd w:val="0"/>
              <w:snapToGrid w:val="0"/>
              <w:jc w:val="left"/>
              <w:rPr>
                <w:rFonts w:ascii="宋体" w:hAnsi="宋体"/>
                <w:kern w:val="0"/>
                <w:szCs w:val="21"/>
                <w:highlight w:val="none"/>
              </w:rPr>
            </w:pPr>
          </w:p>
        </w:tc>
        <w:tc>
          <w:tcPr>
            <w:tcW w:w="778" w:type="dxa"/>
            <w:vAlign w:val="top"/>
          </w:tcPr>
          <w:p w14:paraId="0E2BCE52">
            <w:pPr>
              <w:autoSpaceDE w:val="0"/>
              <w:autoSpaceDN w:val="0"/>
              <w:adjustRightInd w:val="0"/>
              <w:snapToGrid w:val="0"/>
              <w:jc w:val="left"/>
              <w:rPr>
                <w:rFonts w:ascii="宋体" w:hAnsi="宋体"/>
                <w:kern w:val="0"/>
                <w:szCs w:val="21"/>
                <w:highlight w:val="none"/>
              </w:rPr>
            </w:pPr>
          </w:p>
        </w:tc>
        <w:tc>
          <w:tcPr>
            <w:tcW w:w="776" w:type="dxa"/>
            <w:vAlign w:val="top"/>
          </w:tcPr>
          <w:p w14:paraId="508B8FD7">
            <w:pPr>
              <w:autoSpaceDE w:val="0"/>
              <w:autoSpaceDN w:val="0"/>
              <w:adjustRightInd w:val="0"/>
              <w:snapToGrid w:val="0"/>
              <w:jc w:val="left"/>
              <w:rPr>
                <w:rFonts w:ascii="宋体" w:hAnsi="宋体"/>
                <w:kern w:val="0"/>
                <w:szCs w:val="21"/>
                <w:highlight w:val="none"/>
              </w:rPr>
            </w:pPr>
          </w:p>
        </w:tc>
        <w:tc>
          <w:tcPr>
            <w:tcW w:w="2723" w:type="dxa"/>
            <w:vAlign w:val="top"/>
          </w:tcPr>
          <w:p w14:paraId="0A4A32BF">
            <w:pPr>
              <w:autoSpaceDE w:val="0"/>
              <w:autoSpaceDN w:val="0"/>
              <w:adjustRightInd w:val="0"/>
              <w:snapToGrid w:val="0"/>
              <w:jc w:val="left"/>
              <w:rPr>
                <w:rFonts w:ascii="宋体" w:hAnsi="宋体"/>
                <w:kern w:val="0"/>
                <w:szCs w:val="21"/>
                <w:highlight w:val="none"/>
              </w:rPr>
            </w:pPr>
          </w:p>
        </w:tc>
        <w:tc>
          <w:tcPr>
            <w:tcW w:w="896" w:type="dxa"/>
            <w:vAlign w:val="top"/>
          </w:tcPr>
          <w:p w14:paraId="3D0BDC2D">
            <w:pPr>
              <w:autoSpaceDE w:val="0"/>
              <w:autoSpaceDN w:val="0"/>
              <w:adjustRightInd w:val="0"/>
              <w:snapToGrid w:val="0"/>
              <w:jc w:val="left"/>
              <w:rPr>
                <w:rFonts w:ascii="宋体" w:hAnsi="宋体"/>
                <w:kern w:val="0"/>
                <w:szCs w:val="21"/>
                <w:highlight w:val="none"/>
              </w:rPr>
            </w:pPr>
          </w:p>
        </w:tc>
      </w:tr>
      <w:tr w14:paraId="2BD014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F27BE4C">
            <w:pPr>
              <w:autoSpaceDE w:val="0"/>
              <w:autoSpaceDN w:val="0"/>
              <w:adjustRightInd w:val="0"/>
              <w:snapToGrid w:val="0"/>
              <w:jc w:val="left"/>
              <w:rPr>
                <w:rFonts w:ascii="宋体" w:hAnsi="宋体"/>
                <w:kern w:val="0"/>
                <w:szCs w:val="21"/>
                <w:highlight w:val="none"/>
              </w:rPr>
            </w:pPr>
          </w:p>
        </w:tc>
        <w:tc>
          <w:tcPr>
            <w:tcW w:w="734" w:type="dxa"/>
            <w:vAlign w:val="top"/>
          </w:tcPr>
          <w:p w14:paraId="633BCAD7">
            <w:pPr>
              <w:autoSpaceDE w:val="0"/>
              <w:autoSpaceDN w:val="0"/>
              <w:adjustRightInd w:val="0"/>
              <w:snapToGrid w:val="0"/>
              <w:jc w:val="left"/>
              <w:rPr>
                <w:rFonts w:ascii="宋体" w:hAnsi="宋体"/>
                <w:kern w:val="0"/>
                <w:szCs w:val="21"/>
                <w:highlight w:val="none"/>
              </w:rPr>
            </w:pPr>
          </w:p>
        </w:tc>
        <w:tc>
          <w:tcPr>
            <w:tcW w:w="776" w:type="dxa"/>
            <w:vAlign w:val="top"/>
          </w:tcPr>
          <w:p w14:paraId="6C64CCEA">
            <w:pPr>
              <w:autoSpaceDE w:val="0"/>
              <w:autoSpaceDN w:val="0"/>
              <w:adjustRightInd w:val="0"/>
              <w:snapToGrid w:val="0"/>
              <w:jc w:val="left"/>
              <w:rPr>
                <w:rFonts w:ascii="宋体" w:hAnsi="宋体"/>
                <w:kern w:val="0"/>
                <w:szCs w:val="21"/>
                <w:highlight w:val="none"/>
              </w:rPr>
            </w:pPr>
          </w:p>
        </w:tc>
        <w:tc>
          <w:tcPr>
            <w:tcW w:w="1167" w:type="dxa"/>
            <w:vAlign w:val="top"/>
          </w:tcPr>
          <w:p w14:paraId="178772FE">
            <w:pPr>
              <w:autoSpaceDE w:val="0"/>
              <w:autoSpaceDN w:val="0"/>
              <w:adjustRightInd w:val="0"/>
              <w:snapToGrid w:val="0"/>
              <w:jc w:val="left"/>
              <w:rPr>
                <w:rFonts w:ascii="宋体" w:hAnsi="宋体"/>
                <w:kern w:val="0"/>
                <w:szCs w:val="21"/>
                <w:highlight w:val="none"/>
              </w:rPr>
            </w:pPr>
          </w:p>
        </w:tc>
        <w:tc>
          <w:tcPr>
            <w:tcW w:w="776" w:type="dxa"/>
            <w:vAlign w:val="top"/>
          </w:tcPr>
          <w:p w14:paraId="4E1ECCED">
            <w:pPr>
              <w:autoSpaceDE w:val="0"/>
              <w:autoSpaceDN w:val="0"/>
              <w:adjustRightInd w:val="0"/>
              <w:snapToGrid w:val="0"/>
              <w:jc w:val="left"/>
              <w:rPr>
                <w:rFonts w:ascii="宋体" w:hAnsi="宋体"/>
                <w:kern w:val="0"/>
                <w:szCs w:val="21"/>
                <w:highlight w:val="none"/>
              </w:rPr>
            </w:pPr>
          </w:p>
        </w:tc>
        <w:tc>
          <w:tcPr>
            <w:tcW w:w="778" w:type="dxa"/>
            <w:vAlign w:val="top"/>
          </w:tcPr>
          <w:p w14:paraId="5ED5A114">
            <w:pPr>
              <w:autoSpaceDE w:val="0"/>
              <w:autoSpaceDN w:val="0"/>
              <w:adjustRightInd w:val="0"/>
              <w:snapToGrid w:val="0"/>
              <w:jc w:val="left"/>
              <w:rPr>
                <w:rFonts w:ascii="宋体" w:hAnsi="宋体"/>
                <w:kern w:val="0"/>
                <w:szCs w:val="21"/>
                <w:highlight w:val="none"/>
              </w:rPr>
            </w:pPr>
          </w:p>
        </w:tc>
        <w:tc>
          <w:tcPr>
            <w:tcW w:w="776" w:type="dxa"/>
            <w:vAlign w:val="top"/>
          </w:tcPr>
          <w:p w14:paraId="56A2E519">
            <w:pPr>
              <w:autoSpaceDE w:val="0"/>
              <w:autoSpaceDN w:val="0"/>
              <w:adjustRightInd w:val="0"/>
              <w:snapToGrid w:val="0"/>
              <w:jc w:val="left"/>
              <w:rPr>
                <w:rFonts w:ascii="宋体" w:hAnsi="宋体"/>
                <w:kern w:val="0"/>
                <w:szCs w:val="21"/>
                <w:highlight w:val="none"/>
              </w:rPr>
            </w:pPr>
          </w:p>
        </w:tc>
        <w:tc>
          <w:tcPr>
            <w:tcW w:w="2723" w:type="dxa"/>
            <w:vAlign w:val="top"/>
          </w:tcPr>
          <w:p w14:paraId="2CF48064">
            <w:pPr>
              <w:autoSpaceDE w:val="0"/>
              <w:autoSpaceDN w:val="0"/>
              <w:adjustRightInd w:val="0"/>
              <w:snapToGrid w:val="0"/>
              <w:jc w:val="left"/>
              <w:rPr>
                <w:rFonts w:ascii="宋体" w:hAnsi="宋体"/>
                <w:kern w:val="0"/>
                <w:szCs w:val="21"/>
                <w:highlight w:val="none"/>
              </w:rPr>
            </w:pPr>
          </w:p>
        </w:tc>
        <w:tc>
          <w:tcPr>
            <w:tcW w:w="896" w:type="dxa"/>
            <w:vAlign w:val="top"/>
          </w:tcPr>
          <w:p w14:paraId="5E74ED55">
            <w:pPr>
              <w:autoSpaceDE w:val="0"/>
              <w:autoSpaceDN w:val="0"/>
              <w:adjustRightInd w:val="0"/>
              <w:snapToGrid w:val="0"/>
              <w:jc w:val="left"/>
              <w:rPr>
                <w:rFonts w:ascii="宋体" w:hAnsi="宋体"/>
                <w:kern w:val="0"/>
                <w:szCs w:val="21"/>
                <w:highlight w:val="none"/>
              </w:rPr>
            </w:pPr>
          </w:p>
        </w:tc>
      </w:tr>
      <w:tr w14:paraId="2DF859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1363966">
            <w:pPr>
              <w:autoSpaceDE w:val="0"/>
              <w:autoSpaceDN w:val="0"/>
              <w:adjustRightInd w:val="0"/>
              <w:snapToGrid w:val="0"/>
              <w:jc w:val="left"/>
              <w:rPr>
                <w:rFonts w:ascii="宋体" w:hAnsi="宋体"/>
                <w:kern w:val="0"/>
                <w:szCs w:val="21"/>
                <w:highlight w:val="none"/>
              </w:rPr>
            </w:pPr>
          </w:p>
        </w:tc>
        <w:tc>
          <w:tcPr>
            <w:tcW w:w="734" w:type="dxa"/>
            <w:vAlign w:val="top"/>
          </w:tcPr>
          <w:p w14:paraId="09F8A614">
            <w:pPr>
              <w:autoSpaceDE w:val="0"/>
              <w:autoSpaceDN w:val="0"/>
              <w:adjustRightInd w:val="0"/>
              <w:snapToGrid w:val="0"/>
              <w:jc w:val="left"/>
              <w:rPr>
                <w:rFonts w:ascii="宋体" w:hAnsi="宋体"/>
                <w:kern w:val="0"/>
                <w:szCs w:val="21"/>
                <w:highlight w:val="none"/>
              </w:rPr>
            </w:pPr>
          </w:p>
        </w:tc>
        <w:tc>
          <w:tcPr>
            <w:tcW w:w="776" w:type="dxa"/>
            <w:vAlign w:val="top"/>
          </w:tcPr>
          <w:p w14:paraId="77C1A1BE">
            <w:pPr>
              <w:autoSpaceDE w:val="0"/>
              <w:autoSpaceDN w:val="0"/>
              <w:adjustRightInd w:val="0"/>
              <w:snapToGrid w:val="0"/>
              <w:jc w:val="left"/>
              <w:rPr>
                <w:rFonts w:ascii="宋体" w:hAnsi="宋体"/>
                <w:kern w:val="0"/>
                <w:szCs w:val="21"/>
                <w:highlight w:val="none"/>
              </w:rPr>
            </w:pPr>
          </w:p>
        </w:tc>
        <w:tc>
          <w:tcPr>
            <w:tcW w:w="1167" w:type="dxa"/>
            <w:vAlign w:val="top"/>
          </w:tcPr>
          <w:p w14:paraId="386729B3">
            <w:pPr>
              <w:autoSpaceDE w:val="0"/>
              <w:autoSpaceDN w:val="0"/>
              <w:adjustRightInd w:val="0"/>
              <w:snapToGrid w:val="0"/>
              <w:jc w:val="left"/>
              <w:rPr>
                <w:rFonts w:ascii="宋体" w:hAnsi="宋体"/>
                <w:kern w:val="0"/>
                <w:szCs w:val="21"/>
                <w:highlight w:val="none"/>
              </w:rPr>
            </w:pPr>
          </w:p>
        </w:tc>
        <w:tc>
          <w:tcPr>
            <w:tcW w:w="776" w:type="dxa"/>
            <w:vAlign w:val="top"/>
          </w:tcPr>
          <w:p w14:paraId="60EB37AB">
            <w:pPr>
              <w:autoSpaceDE w:val="0"/>
              <w:autoSpaceDN w:val="0"/>
              <w:adjustRightInd w:val="0"/>
              <w:snapToGrid w:val="0"/>
              <w:jc w:val="left"/>
              <w:rPr>
                <w:rFonts w:ascii="宋体" w:hAnsi="宋体"/>
                <w:kern w:val="0"/>
                <w:szCs w:val="21"/>
                <w:highlight w:val="none"/>
              </w:rPr>
            </w:pPr>
          </w:p>
        </w:tc>
        <w:tc>
          <w:tcPr>
            <w:tcW w:w="778" w:type="dxa"/>
            <w:vAlign w:val="top"/>
          </w:tcPr>
          <w:p w14:paraId="5E19D487">
            <w:pPr>
              <w:autoSpaceDE w:val="0"/>
              <w:autoSpaceDN w:val="0"/>
              <w:adjustRightInd w:val="0"/>
              <w:snapToGrid w:val="0"/>
              <w:jc w:val="left"/>
              <w:rPr>
                <w:rFonts w:ascii="宋体" w:hAnsi="宋体"/>
                <w:kern w:val="0"/>
                <w:szCs w:val="21"/>
                <w:highlight w:val="none"/>
              </w:rPr>
            </w:pPr>
          </w:p>
        </w:tc>
        <w:tc>
          <w:tcPr>
            <w:tcW w:w="776" w:type="dxa"/>
            <w:vAlign w:val="top"/>
          </w:tcPr>
          <w:p w14:paraId="2B4B6F1B">
            <w:pPr>
              <w:autoSpaceDE w:val="0"/>
              <w:autoSpaceDN w:val="0"/>
              <w:adjustRightInd w:val="0"/>
              <w:snapToGrid w:val="0"/>
              <w:jc w:val="left"/>
              <w:rPr>
                <w:rFonts w:ascii="宋体" w:hAnsi="宋体"/>
                <w:kern w:val="0"/>
                <w:szCs w:val="21"/>
                <w:highlight w:val="none"/>
              </w:rPr>
            </w:pPr>
          </w:p>
        </w:tc>
        <w:tc>
          <w:tcPr>
            <w:tcW w:w="2723" w:type="dxa"/>
            <w:vAlign w:val="top"/>
          </w:tcPr>
          <w:p w14:paraId="51F6E890">
            <w:pPr>
              <w:autoSpaceDE w:val="0"/>
              <w:autoSpaceDN w:val="0"/>
              <w:adjustRightInd w:val="0"/>
              <w:snapToGrid w:val="0"/>
              <w:jc w:val="left"/>
              <w:rPr>
                <w:rFonts w:ascii="宋体" w:hAnsi="宋体"/>
                <w:kern w:val="0"/>
                <w:szCs w:val="21"/>
                <w:highlight w:val="none"/>
              </w:rPr>
            </w:pPr>
          </w:p>
        </w:tc>
        <w:tc>
          <w:tcPr>
            <w:tcW w:w="896" w:type="dxa"/>
            <w:vAlign w:val="top"/>
          </w:tcPr>
          <w:p w14:paraId="4526F839">
            <w:pPr>
              <w:autoSpaceDE w:val="0"/>
              <w:autoSpaceDN w:val="0"/>
              <w:adjustRightInd w:val="0"/>
              <w:snapToGrid w:val="0"/>
              <w:jc w:val="left"/>
              <w:rPr>
                <w:rFonts w:ascii="宋体" w:hAnsi="宋体"/>
                <w:kern w:val="0"/>
                <w:szCs w:val="21"/>
                <w:highlight w:val="none"/>
              </w:rPr>
            </w:pPr>
          </w:p>
        </w:tc>
      </w:tr>
      <w:tr w14:paraId="1031F6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D73BEE3">
            <w:pPr>
              <w:autoSpaceDE w:val="0"/>
              <w:autoSpaceDN w:val="0"/>
              <w:adjustRightInd w:val="0"/>
              <w:snapToGrid w:val="0"/>
              <w:jc w:val="left"/>
              <w:rPr>
                <w:rFonts w:ascii="宋体" w:hAnsi="宋体"/>
                <w:kern w:val="0"/>
                <w:szCs w:val="21"/>
                <w:highlight w:val="none"/>
              </w:rPr>
            </w:pPr>
          </w:p>
        </w:tc>
        <w:tc>
          <w:tcPr>
            <w:tcW w:w="734" w:type="dxa"/>
            <w:vAlign w:val="top"/>
          </w:tcPr>
          <w:p w14:paraId="2E11076D">
            <w:pPr>
              <w:autoSpaceDE w:val="0"/>
              <w:autoSpaceDN w:val="0"/>
              <w:adjustRightInd w:val="0"/>
              <w:snapToGrid w:val="0"/>
              <w:jc w:val="left"/>
              <w:rPr>
                <w:rFonts w:ascii="宋体" w:hAnsi="宋体"/>
                <w:kern w:val="0"/>
                <w:szCs w:val="21"/>
                <w:highlight w:val="none"/>
              </w:rPr>
            </w:pPr>
          </w:p>
        </w:tc>
        <w:tc>
          <w:tcPr>
            <w:tcW w:w="776" w:type="dxa"/>
            <w:vAlign w:val="top"/>
          </w:tcPr>
          <w:p w14:paraId="503C97EE">
            <w:pPr>
              <w:autoSpaceDE w:val="0"/>
              <w:autoSpaceDN w:val="0"/>
              <w:adjustRightInd w:val="0"/>
              <w:snapToGrid w:val="0"/>
              <w:jc w:val="left"/>
              <w:rPr>
                <w:rFonts w:ascii="宋体" w:hAnsi="宋体"/>
                <w:kern w:val="0"/>
                <w:szCs w:val="21"/>
                <w:highlight w:val="none"/>
              </w:rPr>
            </w:pPr>
          </w:p>
        </w:tc>
        <w:tc>
          <w:tcPr>
            <w:tcW w:w="1167" w:type="dxa"/>
            <w:vAlign w:val="top"/>
          </w:tcPr>
          <w:p w14:paraId="480465B2">
            <w:pPr>
              <w:autoSpaceDE w:val="0"/>
              <w:autoSpaceDN w:val="0"/>
              <w:adjustRightInd w:val="0"/>
              <w:snapToGrid w:val="0"/>
              <w:jc w:val="left"/>
              <w:rPr>
                <w:rFonts w:ascii="宋体" w:hAnsi="宋体"/>
                <w:kern w:val="0"/>
                <w:szCs w:val="21"/>
                <w:highlight w:val="none"/>
              </w:rPr>
            </w:pPr>
          </w:p>
        </w:tc>
        <w:tc>
          <w:tcPr>
            <w:tcW w:w="776" w:type="dxa"/>
            <w:vAlign w:val="top"/>
          </w:tcPr>
          <w:p w14:paraId="14BF95F2">
            <w:pPr>
              <w:autoSpaceDE w:val="0"/>
              <w:autoSpaceDN w:val="0"/>
              <w:adjustRightInd w:val="0"/>
              <w:snapToGrid w:val="0"/>
              <w:jc w:val="left"/>
              <w:rPr>
                <w:rFonts w:ascii="宋体" w:hAnsi="宋体"/>
                <w:kern w:val="0"/>
                <w:szCs w:val="21"/>
                <w:highlight w:val="none"/>
              </w:rPr>
            </w:pPr>
          </w:p>
        </w:tc>
        <w:tc>
          <w:tcPr>
            <w:tcW w:w="778" w:type="dxa"/>
            <w:vAlign w:val="top"/>
          </w:tcPr>
          <w:p w14:paraId="2C34D1F8">
            <w:pPr>
              <w:autoSpaceDE w:val="0"/>
              <w:autoSpaceDN w:val="0"/>
              <w:adjustRightInd w:val="0"/>
              <w:snapToGrid w:val="0"/>
              <w:jc w:val="left"/>
              <w:rPr>
                <w:rFonts w:ascii="宋体" w:hAnsi="宋体"/>
                <w:kern w:val="0"/>
                <w:szCs w:val="21"/>
                <w:highlight w:val="none"/>
              </w:rPr>
            </w:pPr>
          </w:p>
        </w:tc>
        <w:tc>
          <w:tcPr>
            <w:tcW w:w="776" w:type="dxa"/>
            <w:vAlign w:val="top"/>
          </w:tcPr>
          <w:p w14:paraId="134D0A2B">
            <w:pPr>
              <w:autoSpaceDE w:val="0"/>
              <w:autoSpaceDN w:val="0"/>
              <w:adjustRightInd w:val="0"/>
              <w:snapToGrid w:val="0"/>
              <w:jc w:val="left"/>
              <w:rPr>
                <w:rFonts w:ascii="宋体" w:hAnsi="宋体"/>
                <w:kern w:val="0"/>
                <w:szCs w:val="21"/>
                <w:highlight w:val="none"/>
              </w:rPr>
            </w:pPr>
          </w:p>
        </w:tc>
        <w:tc>
          <w:tcPr>
            <w:tcW w:w="2723" w:type="dxa"/>
            <w:vAlign w:val="top"/>
          </w:tcPr>
          <w:p w14:paraId="7C887BDD">
            <w:pPr>
              <w:autoSpaceDE w:val="0"/>
              <w:autoSpaceDN w:val="0"/>
              <w:adjustRightInd w:val="0"/>
              <w:snapToGrid w:val="0"/>
              <w:jc w:val="left"/>
              <w:rPr>
                <w:rFonts w:ascii="宋体" w:hAnsi="宋体"/>
                <w:kern w:val="0"/>
                <w:szCs w:val="21"/>
                <w:highlight w:val="none"/>
              </w:rPr>
            </w:pPr>
          </w:p>
        </w:tc>
        <w:tc>
          <w:tcPr>
            <w:tcW w:w="896" w:type="dxa"/>
            <w:vAlign w:val="top"/>
          </w:tcPr>
          <w:p w14:paraId="4805BFF7">
            <w:pPr>
              <w:autoSpaceDE w:val="0"/>
              <w:autoSpaceDN w:val="0"/>
              <w:adjustRightInd w:val="0"/>
              <w:snapToGrid w:val="0"/>
              <w:jc w:val="left"/>
              <w:rPr>
                <w:rFonts w:ascii="宋体" w:hAnsi="宋体"/>
                <w:kern w:val="0"/>
                <w:szCs w:val="21"/>
                <w:highlight w:val="none"/>
              </w:rPr>
            </w:pPr>
          </w:p>
        </w:tc>
      </w:tr>
      <w:tr w14:paraId="6E80C6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CF09441">
            <w:pPr>
              <w:autoSpaceDE w:val="0"/>
              <w:autoSpaceDN w:val="0"/>
              <w:adjustRightInd w:val="0"/>
              <w:snapToGrid w:val="0"/>
              <w:jc w:val="left"/>
              <w:rPr>
                <w:rFonts w:ascii="宋体" w:hAnsi="宋体"/>
                <w:kern w:val="0"/>
                <w:szCs w:val="21"/>
                <w:highlight w:val="none"/>
              </w:rPr>
            </w:pPr>
          </w:p>
        </w:tc>
        <w:tc>
          <w:tcPr>
            <w:tcW w:w="734" w:type="dxa"/>
            <w:vAlign w:val="top"/>
          </w:tcPr>
          <w:p w14:paraId="11D69454">
            <w:pPr>
              <w:autoSpaceDE w:val="0"/>
              <w:autoSpaceDN w:val="0"/>
              <w:adjustRightInd w:val="0"/>
              <w:snapToGrid w:val="0"/>
              <w:jc w:val="left"/>
              <w:rPr>
                <w:rFonts w:ascii="宋体" w:hAnsi="宋体"/>
                <w:kern w:val="0"/>
                <w:szCs w:val="21"/>
                <w:highlight w:val="none"/>
              </w:rPr>
            </w:pPr>
          </w:p>
        </w:tc>
        <w:tc>
          <w:tcPr>
            <w:tcW w:w="776" w:type="dxa"/>
            <w:vAlign w:val="top"/>
          </w:tcPr>
          <w:p w14:paraId="3CD7D73D">
            <w:pPr>
              <w:autoSpaceDE w:val="0"/>
              <w:autoSpaceDN w:val="0"/>
              <w:adjustRightInd w:val="0"/>
              <w:snapToGrid w:val="0"/>
              <w:jc w:val="left"/>
              <w:rPr>
                <w:rFonts w:ascii="宋体" w:hAnsi="宋体"/>
                <w:kern w:val="0"/>
                <w:szCs w:val="21"/>
                <w:highlight w:val="none"/>
              </w:rPr>
            </w:pPr>
          </w:p>
        </w:tc>
        <w:tc>
          <w:tcPr>
            <w:tcW w:w="1167" w:type="dxa"/>
            <w:vAlign w:val="top"/>
          </w:tcPr>
          <w:p w14:paraId="4C5A4159">
            <w:pPr>
              <w:autoSpaceDE w:val="0"/>
              <w:autoSpaceDN w:val="0"/>
              <w:adjustRightInd w:val="0"/>
              <w:snapToGrid w:val="0"/>
              <w:jc w:val="left"/>
              <w:rPr>
                <w:rFonts w:ascii="宋体" w:hAnsi="宋体"/>
                <w:kern w:val="0"/>
                <w:szCs w:val="21"/>
                <w:highlight w:val="none"/>
              </w:rPr>
            </w:pPr>
          </w:p>
        </w:tc>
        <w:tc>
          <w:tcPr>
            <w:tcW w:w="776" w:type="dxa"/>
            <w:vAlign w:val="top"/>
          </w:tcPr>
          <w:p w14:paraId="5D5A1FFD">
            <w:pPr>
              <w:autoSpaceDE w:val="0"/>
              <w:autoSpaceDN w:val="0"/>
              <w:adjustRightInd w:val="0"/>
              <w:snapToGrid w:val="0"/>
              <w:jc w:val="left"/>
              <w:rPr>
                <w:rFonts w:ascii="宋体" w:hAnsi="宋体"/>
                <w:kern w:val="0"/>
                <w:szCs w:val="21"/>
                <w:highlight w:val="none"/>
              </w:rPr>
            </w:pPr>
          </w:p>
        </w:tc>
        <w:tc>
          <w:tcPr>
            <w:tcW w:w="778" w:type="dxa"/>
            <w:vAlign w:val="top"/>
          </w:tcPr>
          <w:p w14:paraId="7DA9934C">
            <w:pPr>
              <w:autoSpaceDE w:val="0"/>
              <w:autoSpaceDN w:val="0"/>
              <w:adjustRightInd w:val="0"/>
              <w:snapToGrid w:val="0"/>
              <w:jc w:val="left"/>
              <w:rPr>
                <w:rFonts w:ascii="宋体" w:hAnsi="宋体"/>
                <w:kern w:val="0"/>
                <w:szCs w:val="21"/>
                <w:highlight w:val="none"/>
              </w:rPr>
            </w:pPr>
          </w:p>
        </w:tc>
        <w:tc>
          <w:tcPr>
            <w:tcW w:w="776" w:type="dxa"/>
            <w:vAlign w:val="top"/>
          </w:tcPr>
          <w:p w14:paraId="04FB494A">
            <w:pPr>
              <w:autoSpaceDE w:val="0"/>
              <w:autoSpaceDN w:val="0"/>
              <w:adjustRightInd w:val="0"/>
              <w:snapToGrid w:val="0"/>
              <w:jc w:val="left"/>
              <w:rPr>
                <w:rFonts w:ascii="宋体" w:hAnsi="宋体"/>
                <w:kern w:val="0"/>
                <w:szCs w:val="21"/>
                <w:highlight w:val="none"/>
              </w:rPr>
            </w:pPr>
          </w:p>
        </w:tc>
        <w:tc>
          <w:tcPr>
            <w:tcW w:w="2723" w:type="dxa"/>
            <w:vAlign w:val="top"/>
          </w:tcPr>
          <w:p w14:paraId="39F47A12">
            <w:pPr>
              <w:autoSpaceDE w:val="0"/>
              <w:autoSpaceDN w:val="0"/>
              <w:adjustRightInd w:val="0"/>
              <w:snapToGrid w:val="0"/>
              <w:jc w:val="left"/>
              <w:rPr>
                <w:rFonts w:ascii="宋体" w:hAnsi="宋体"/>
                <w:kern w:val="0"/>
                <w:szCs w:val="21"/>
                <w:highlight w:val="none"/>
              </w:rPr>
            </w:pPr>
          </w:p>
        </w:tc>
        <w:tc>
          <w:tcPr>
            <w:tcW w:w="896" w:type="dxa"/>
            <w:vAlign w:val="top"/>
          </w:tcPr>
          <w:p w14:paraId="7B5820FA">
            <w:pPr>
              <w:autoSpaceDE w:val="0"/>
              <w:autoSpaceDN w:val="0"/>
              <w:adjustRightInd w:val="0"/>
              <w:snapToGrid w:val="0"/>
              <w:jc w:val="left"/>
              <w:rPr>
                <w:rFonts w:ascii="宋体" w:hAnsi="宋体"/>
                <w:kern w:val="0"/>
                <w:szCs w:val="21"/>
                <w:highlight w:val="none"/>
              </w:rPr>
            </w:pPr>
          </w:p>
        </w:tc>
      </w:tr>
      <w:tr w14:paraId="173B10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5842006">
            <w:pPr>
              <w:autoSpaceDE w:val="0"/>
              <w:autoSpaceDN w:val="0"/>
              <w:adjustRightInd w:val="0"/>
              <w:snapToGrid w:val="0"/>
              <w:jc w:val="left"/>
              <w:rPr>
                <w:rFonts w:ascii="宋体" w:hAnsi="宋体"/>
                <w:kern w:val="0"/>
                <w:szCs w:val="21"/>
                <w:highlight w:val="none"/>
              </w:rPr>
            </w:pPr>
          </w:p>
        </w:tc>
        <w:tc>
          <w:tcPr>
            <w:tcW w:w="734" w:type="dxa"/>
            <w:vAlign w:val="top"/>
          </w:tcPr>
          <w:p w14:paraId="4039196B">
            <w:pPr>
              <w:autoSpaceDE w:val="0"/>
              <w:autoSpaceDN w:val="0"/>
              <w:adjustRightInd w:val="0"/>
              <w:snapToGrid w:val="0"/>
              <w:jc w:val="left"/>
              <w:rPr>
                <w:rFonts w:ascii="宋体" w:hAnsi="宋体"/>
                <w:kern w:val="0"/>
                <w:szCs w:val="21"/>
                <w:highlight w:val="none"/>
              </w:rPr>
            </w:pPr>
          </w:p>
        </w:tc>
        <w:tc>
          <w:tcPr>
            <w:tcW w:w="776" w:type="dxa"/>
            <w:vAlign w:val="top"/>
          </w:tcPr>
          <w:p w14:paraId="4E5EDBD0">
            <w:pPr>
              <w:autoSpaceDE w:val="0"/>
              <w:autoSpaceDN w:val="0"/>
              <w:adjustRightInd w:val="0"/>
              <w:snapToGrid w:val="0"/>
              <w:jc w:val="left"/>
              <w:rPr>
                <w:rFonts w:ascii="宋体" w:hAnsi="宋体"/>
                <w:kern w:val="0"/>
                <w:szCs w:val="21"/>
                <w:highlight w:val="none"/>
              </w:rPr>
            </w:pPr>
          </w:p>
        </w:tc>
        <w:tc>
          <w:tcPr>
            <w:tcW w:w="1167" w:type="dxa"/>
            <w:vAlign w:val="top"/>
          </w:tcPr>
          <w:p w14:paraId="3C8DEFB5">
            <w:pPr>
              <w:autoSpaceDE w:val="0"/>
              <w:autoSpaceDN w:val="0"/>
              <w:adjustRightInd w:val="0"/>
              <w:snapToGrid w:val="0"/>
              <w:jc w:val="left"/>
              <w:rPr>
                <w:rFonts w:ascii="宋体" w:hAnsi="宋体"/>
                <w:kern w:val="0"/>
                <w:szCs w:val="21"/>
                <w:highlight w:val="none"/>
              </w:rPr>
            </w:pPr>
          </w:p>
        </w:tc>
        <w:tc>
          <w:tcPr>
            <w:tcW w:w="776" w:type="dxa"/>
            <w:vAlign w:val="top"/>
          </w:tcPr>
          <w:p w14:paraId="36C8BF4D">
            <w:pPr>
              <w:autoSpaceDE w:val="0"/>
              <w:autoSpaceDN w:val="0"/>
              <w:adjustRightInd w:val="0"/>
              <w:snapToGrid w:val="0"/>
              <w:jc w:val="left"/>
              <w:rPr>
                <w:rFonts w:ascii="宋体" w:hAnsi="宋体"/>
                <w:kern w:val="0"/>
                <w:szCs w:val="21"/>
                <w:highlight w:val="none"/>
              </w:rPr>
            </w:pPr>
          </w:p>
        </w:tc>
        <w:tc>
          <w:tcPr>
            <w:tcW w:w="778" w:type="dxa"/>
            <w:vAlign w:val="top"/>
          </w:tcPr>
          <w:p w14:paraId="4E22CD47">
            <w:pPr>
              <w:autoSpaceDE w:val="0"/>
              <w:autoSpaceDN w:val="0"/>
              <w:adjustRightInd w:val="0"/>
              <w:snapToGrid w:val="0"/>
              <w:jc w:val="left"/>
              <w:rPr>
                <w:rFonts w:ascii="宋体" w:hAnsi="宋体"/>
                <w:kern w:val="0"/>
                <w:szCs w:val="21"/>
                <w:highlight w:val="none"/>
              </w:rPr>
            </w:pPr>
          </w:p>
        </w:tc>
        <w:tc>
          <w:tcPr>
            <w:tcW w:w="776" w:type="dxa"/>
            <w:vAlign w:val="top"/>
          </w:tcPr>
          <w:p w14:paraId="48082CD0">
            <w:pPr>
              <w:autoSpaceDE w:val="0"/>
              <w:autoSpaceDN w:val="0"/>
              <w:adjustRightInd w:val="0"/>
              <w:snapToGrid w:val="0"/>
              <w:jc w:val="left"/>
              <w:rPr>
                <w:rFonts w:ascii="宋体" w:hAnsi="宋体"/>
                <w:kern w:val="0"/>
                <w:szCs w:val="21"/>
                <w:highlight w:val="none"/>
              </w:rPr>
            </w:pPr>
          </w:p>
        </w:tc>
        <w:tc>
          <w:tcPr>
            <w:tcW w:w="2723" w:type="dxa"/>
            <w:vAlign w:val="top"/>
          </w:tcPr>
          <w:p w14:paraId="321CF97F">
            <w:pPr>
              <w:autoSpaceDE w:val="0"/>
              <w:autoSpaceDN w:val="0"/>
              <w:adjustRightInd w:val="0"/>
              <w:snapToGrid w:val="0"/>
              <w:jc w:val="left"/>
              <w:rPr>
                <w:rFonts w:ascii="宋体" w:hAnsi="宋体"/>
                <w:kern w:val="0"/>
                <w:szCs w:val="21"/>
                <w:highlight w:val="none"/>
              </w:rPr>
            </w:pPr>
          </w:p>
        </w:tc>
        <w:tc>
          <w:tcPr>
            <w:tcW w:w="896" w:type="dxa"/>
            <w:vAlign w:val="top"/>
          </w:tcPr>
          <w:p w14:paraId="0D6B197A">
            <w:pPr>
              <w:autoSpaceDE w:val="0"/>
              <w:autoSpaceDN w:val="0"/>
              <w:adjustRightInd w:val="0"/>
              <w:snapToGrid w:val="0"/>
              <w:jc w:val="left"/>
              <w:rPr>
                <w:rFonts w:ascii="宋体" w:hAnsi="宋体"/>
                <w:kern w:val="0"/>
                <w:szCs w:val="21"/>
                <w:highlight w:val="none"/>
              </w:rPr>
            </w:pPr>
          </w:p>
        </w:tc>
      </w:tr>
      <w:tr w14:paraId="52540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4F308D5">
            <w:pPr>
              <w:autoSpaceDE w:val="0"/>
              <w:autoSpaceDN w:val="0"/>
              <w:adjustRightInd w:val="0"/>
              <w:snapToGrid w:val="0"/>
              <w:jc w:val="left"/>
              <w:rPr>
                <w:rFonts w:ascii="宋体" w:hAnsi="宋体"/>
                <w:kern w:val="0"/>
                <w:szCs w:val="21"/>
                <w:highlight w:val="none"/>
              </w:rPr>
            </w:pPr>
          </w:p>
        </w:tc>
        <w:tc>
          <w:tcPr>
            <w:tcW w:w="734" w:type="dxa"/>
            <w:vAlign w:val="top"/>
          </w:tcPr>
          <w:p w14:paraId="1EC09CBA">
            <w:pPr>
              <w:autoSpaceDE w:val="0"/>
              <w:autoSpaceDN w:val="0"/>
              <w:adjustRightInd w:val="0"/>
              <w:snapToGrid w:val="0"/>
              <w:jc w:val="left"/>
              <w:rPr>
                <w:rFonts w:ascii="宋体" w:hAnsi="宋体"/>
                <w:kern w:val="0"/>
                <w:szCs w:val="21"/>
                <w:highlight w:val="none"/>
              </w:rPr>
            </w:pPr>
          </w:p>
        </w:tc>
        <w:tc>
          <w:tcPr>
            <w:tcW w:w="776" w:type="dxa"/>
            <w:vAlign w:val="top"/>
          </w:tcPr>
          <w:p w14:paraId="78AAEF53">
            <w:pPr>
              <w:autoSpaceDE w:val="0"/>
              <w:autoSpaceDN w:val="0"/>
              <w:adjustRightInd w:val="0"/>
              <w:snapToGrid w:val="0"/>
              <w:jc w:val="left"/>
              <w:rPr>
                <w:rFonts w:ascii="宋体" w:hAnsi="宋体"/>
                <w:kern w:val="0"/>
                <w:szCs w:val="21"/>
                <w:highlight w:val="none"/>
              </w:rPr>
            </w:pPr>
          </w:p>
        </w:tc>
        <w:tc>
          <w:tcPr>
            <w:tcW w:w="1167" w:type="dxa"/>
            <w:vAlign w:val="top"/>
          </w:tcPr>
          <w:p w14:paraId="38495B67">
            <w:pPr>
              <w:autoSpaceDE w:val="0"/>
              <w:autoSpaceDN w:val="0"/>
              <w:adjustRightInd w:val="0"/>
              <w:snapToGrid w:val="0"/>
              <w:jc w:val="left"/>
              <w:rPr>
                <w:rFonts w:ascii="宋体" w:hAnsi="宋体"/>
                <w:kern w:val="0"/>
                <w:szCs w:val="21"/>
                <w:highlight w:val="none"/>
              </w:rPr>
            </w:pPr>
          </w:p>
        </w:tc>
        <w:tc>
          <w:tcPr>
            <w:tcW w:w="776" w:type="dxa"/>
            <w:vAlign w:val="top"/>
          </w:tcPr>
          <w:p w14:paraId="178F6253">
            <w:pPr>
              <w:autoSpaceDE w:val="0"/>
              <w:autoSpaceDN w:val="0"/>
              <w:adjustRightInd w:val="0"/>
              <w:snapToGrid w:val="0"/>
              <w:jc w:val="left"/>
              <w:rPr>
                <w:rFonts w:ascii="宋体" w:hAnsi="宋体"/>
                <w:kern w:val="0"/>
                <w:szCs w:val="21"/>
                <w:highlight w:val="none"/>
              </w:rPr>
            </w:pPr>
          </w:p>
        </w:tc>
        <w:tc>
          <w:tcPr>
            <w:tcW w:w="778" w:type="dxa"/>
            <w:vAlign w:val="top"/>
          </w:tcPr>
          <w:p w14:paraId="7CAFE49A">
            <w:pPr>
              <w:autoSpaceDE w:val="0"/>
              <w:autoSpaceDN w:val="0"/>
              <w:adjustRightInd w:val="0"/>
              <w:snapToGrid w:val="0"/>
              <w:jc w:val="left"/>
              <w:rPr>
                <w:rFonts w:ascii="宋体" w:hAnsi="宋体"/>
                <w:kern w:val="0"/>
                <w:szCs w:val="21"/>
                <w:highlight w:val="none"/>
              </w:rPr>
            </w:pPr>
          </w:p>
        </w:tc>
        <w:tc>
          <w:tcPr>
            <w:tcW w:w="776" w:type="dxa"/>
            <w:vAlign w:val="top"/>
          </w:tcPr>
          <w:p w14:paraId="66935367">
            <w:pPr>
              <w:autoSpaceDE w:val="0"/>
              <w:autoSpaceDN w:val="0"/>
              <w:adjustRightInd w:val="0"/>
              <w:snapToGrid w:val="0"/>
              <w:jc w:val="left"/>
              <w:rPr>
                <w:rFonts w:ascii="宋体" w:hAnsi="宋体"/>
                <w:kern w:val="0"/>
                <w:szCs w:val="21"/>
                <w:highlight w:val="none"/>
              </w:rPr>
            </w:pPr>
          </w:p>
        </w:tc>
        <w:tc>
          <w:tcPr>
            <w:tcW w:w="2723" w:type="dxa"/>
            <w:vAlign w:val="top"/>
          </w:tcPr>
          <w:p w14:paraId="3639C76C">
            <w:pPr>
              <w:autoSpaceDE w:val="0"/>
              <w:autoSpaceDN w:val="0"/>
              <w:adjustRightInd w:val="0"/>
              <w:snapToGrid w:val="0"/>
              <w:jc w:val="left"/>
              <w:rPr>
                <w:rFonts w:ascii="宋体" w:hAnsi="宋体"/>
                <w:kern w:val="0"/>
                <w:szCs w:val="21"/>
                <w:highlight w:val="none"/>
              </w:rPr>
            </w:pPr>
          </w:p>
        </w:tc>
        <w:tc>
          <w:tcPr>
            <w:tcW w:w="896" w:type="dxa"/>
            <w:vAlign w:val="top"/>
          </w:tcPr>
          <w:p w14:paraId="13A1212D">
            <w:pPr>
              <w:autoSpaceDE w:val="0"/>
              <w:autoSpaceDN w:val="0"/>
              <w:adjustRightInd w:val="0"/>
              <w:snapToGrid w:val="0"/>
              <w:jc w:val="left"/>
              <w:rPr>
                <w:rFonts w:ascii="宋体" w:hAnsi="宋体"/>
                <w:kern w:val="0"/>
                <w:szCs w:val="21"/>
                <w:highlight w:val="none"/>
              </w:rPr>
            </w:pPr>
          </w:p>
        </w:tc>
      </w:tr>
    </w:tbl>
    <w:p w14:paraId="775EBE91">
      <w:pPr>
        <w:spacing w:line="20" w:lineRule="exact"/>
        <w:jc w:val="center"/>
        <w:rPr>
          <w:rFonts w:ascii="宋体" w:hAnsi="宋体"/>
          <w:szCs w:val="21"/>
          <w:highlight w:val="none"/>
        </w:rPr>
      </w:pPr>
    </w:p>
    <w:p w14:paraId="6E30EADB">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备注：本表仅填项目经理、项目技术负责人相关信息</w:t>
      </w:r>
      <w:r>
        <w:rPr>
          <w:rFonts w:ascii="宋体" w:hAnsi="宋体"/>
          <w:sz w:val="32"/>
          <w:szCs w:val="32"/>
          <w:highlight w:val="none"/>
        </w:rPr>
        <w:br w:type="page"/>
      </w:r>
      <w:r>
        <w:rPr>
          <w:rFonts w:hint="eastAsia" w:ascii="宋体" w:hAnsi="宋体"/>
          <w:sz w:val="32"/>
          <w:szCs w:val="32"/>
          <w:highlight w:val="none"/>
        </w:rPr>
        <w:t>主要人员简历表</w:t>
      </w:r>
      <w:bookmarkEnd w:id="1148"/>
      <w:bookmarkEnd w:id="1149"/>
    </w:p>
    <w:tbl>
      <w:tblPr>
        <w:tblStyle w:val="53"/>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BD23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714F938">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14:paraId="67A131B4">
            <w:pPr>
              <w:autoSpaceDE w:val="0"/>
              <w:autoSpaceDN w:val="0"/>
              <w:adjustRightInd w:val="0"/>
              <w:snapToGrid w:val="0"/>
              <w:jc w:val="center"/>
              <w:rPr>
                <w:rFonts w:ascii="宋体" w:hAnsi="宋体"/>
                <w:kern w:val="0"/>
                <w:szCs w:val="21"/>
                <w:highlight w:val="none"/>
              </w:rPr>
            </w:pPr>
          </w:p>
        </w:tc>
        <w:tc>
          <w:tcPr>
            <w:tcW w:w="1020" w:type="dxa"/>
            <w:vAlign w:val="center"/>
          </w:tcPr>
          <w:p w14:paraId="4F4643AE">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14:paraId="0F816A5E">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496E06AA">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14:paraId="0A5D18F6">
            <w:pPr>
              <w:autoSpaceDE w:val="0"/>
              <w:autoSpaceDN w:val="0"/>
              <w:adjustRightInd w:val="0"/>
              <w:snapToGrid w:val="0"/>
              <w:jc w:val="center"/>
              <w:rPr>
                <w:rFonts w:ascii="宋体" w:hAnsi="宋体"/>
                <w:kern w:val="0"/>
                <w:szCs w:val="21"/>
                <w:highlight w:val="none"/>
              </w:rPr>
            </w:pPr>
          </w:p>
        </w:tc>
      </w:tr>
      <w:tr w14:paraId="3381B9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543098F">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14:paraId="1CFB848C">
            <w:pPr>
              <w:autoSpaceDE w:val="0"/>
              <w:autoSpaceDN w:val="0"/>
              <w:adjustRightInd w:val="0"/>
              <w:snapToGrid w:val="0"/>
              <w:jc w:val="center"/>
              <w:rPr>
                <w:rFonts w:ascii="宋体" w:hAnsi="宋体"/>
                <w:kern w:val="0"/>
                <w:szCs w:val="21"/>
                <w:highlight w:val="none"/>
              </w:rPr>
            </w:pPr>
          </w:p>
        </w:tc>
        <w:tc>
          <w:tcPr>
            <w:tcW w:w="1020" w:type="dxa"/>
            <w:vAlign w:val="center"/>
          </w:tcPr>
          <w:p w14:paraId="0B095C6E">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14:paraId="45908237">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7A991780">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14:paraId="5CC5E848">
            <w:pPr>
              <w:autoSpaceDE w:val="0"/>
              <w:autoSpaceDN w:val="0"/>
              <w:adjustRightInd w:val="0"/>
              <w:snapToGrid w:val="0"/>
              <w:jc w:val="center"/>
              <w:rPr>
                <w:rFonts w:ascii="宋体" w:hAnsi="宋体"/>
                <w:kern w:val="0"/>
                <w:szCs w:val="21"/>
                <w:highlight w:val="none"/>
              </w:rPr>
            </w:pPr>
          </w:p>
        </w:tc>
      </w:tr>
      <w:tr w14:paraId="32EB13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2C6CE7D">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14:paraId="4018E279">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14:paraId="4C55FD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EC39CB8">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14:paraId="30F921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08D5FAF">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14:paraId="7335BD8C">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14:paraId="164DFA91">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14:paraId="563DFD2A">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14:paraId="20CC3D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8B3DFE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1FCA44C0">
            <w:pPr>
              <w:autoSpaceDE w:val="0"/>
              <w:autoSpaceDN w:val="0"/>
              <w:adjustRightInd w:val="0"/>
              <w:snapToGrid w:val="0"/>
              <w:jc w:val="center"/>
              <w:rPr>
                <w:rFonts w:ascii="宋体" w:hAnsi="宋体"/>
                <w:kern w:val="0"/>
                <w:szCs w:val="21"/>
                <w:highlight w:val="none"/>
              </w:rPr>
            </w:pPr>
          </w:p>
        </w:tc>
        <w:tc>
          <w:tcPr>
            <w:tcW w:w="1388" w:type="dxa"/>
            <w:vAlign w:val="center"/>
          </w:tcPr>
          <w:p w14:paraId="3E8A3483">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7258D90">
            <w:pPr>
              <w:autoSpaceDE w:val="0"/>
              <w:autoSpaceDN w:val="0"/>
              <w:adjustRightInd w:val="0"/>
              <w:snapToGrid w:val="0"/>
              <w:jc w:val="center"/>
              <w:rPr>
                <w:rFonts w:ascii="宋体" w:hAnsi="宋体"/>
                <w:kern w:val="0"/>
                <w:szCs w:val="21"/>
                <w:highlight w:val="none"/>
              </w:rPr>
            </w:pPr>
          </w:p>
        </w:tc>
      </w:tr>
      <w:tr w14:paraId="215263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A46A94">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79B1F8E">
            <w:pPr>
              <w:autoSpaceDE w:val="0"/>
              <w:autoSpaceDN w:val="0"/>
              <w:adjustRightInd w:val="0"/>
              <w:snapToGrid w:val="0"/>
              <w:jc w:val="center"/>
              <w:rPr>
                <w:rFonts w:ascii="宋体" w:hAnsi="宋体"/>
                <w:kern w:val="0"/>
                <w:szCs w:val="21"/>
                <w:highlight w:val="none"/>
              </w:rPr>
            </w:pPr>
          </w:p>
        </w:tc>
        <w:tc>
          <w:tcPr>
            <w:tcW w:w="1388" w:type="dxa"/>
            <w:vAlign w:val="center"/>
          </w:tcPr>
          <w:p w14:paraId="0FA5DF24">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A0C06BF">
            <w:pPr>
              <w:autoSpaceDE w:val="0"/>
              <w:autoSpaceDN w:val="0"/>
              <w:adjustRightInd w:val="0"/>
              <w:snapToGrid w:val="0"/>
              <w:jc w:val="center"/>
              <w:rPr>
                <w:rFonts w:ascii="宋体" w:hAnsi="宋体"/>
                <w:kern w:val="0"/>
                <w:szCs w:val="21"/>
                <w:highlight w:val="none"/>
              </w:rPr>
            </w:pPr>
          </w:p>
        </w:tc>
      </w:tr>
      <w:tr w14:paraId="6C720A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719991A">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1C52219F">
            <w:pPr>
              <w:autoSpaceDE w:val="0"/>
              <w:autoSpaceDN w:val="0"/>
              <w:adjustRightInd w:val="0"/>
              <w:snapToGrid w:val="0"/>
              <w:jc w:val="center"/>
              <w:rPr>
                <w:rFonts w:ascii="宋体" w:hAnsi="宋体"/>
                <w:kern w:val="0"/>
                <w:szCs w:val="21"/>
                <w:highlight w:val="none"/>
              </w:rPr>
            </w:pPr>
          </w:p>
        </w:tc>
        <w:tc>
          <w:tcPr>
            <w:tcW w:w="1388" w:type="dxa"/>
            <w:vAlign w:val="center"/>
          </w:tcPr>
          <w:p w14:paraId="18075D3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8DCE16F">
            <w:pPr>
              <w:autoSpaceDE w:val="0"/>
              <w:autoSpaceDN w:val="0"/>
              <w:adjustRightInd w:val="0"/>
              <w:snapToGrid w:val="0"/>
              <w:jc w:val="center"/>
              <w:rPr>
                <w:rFonts w:ascii="宋体" w:hAnsi="宋体"/>
                <w:kern w:val="0"/>
                <w:szCs w:val="21"/>
                <w:highlight w:val="none"/>
              </w:rPr>
            </w:pPr>
          </w:p>
        </w:tc>
      </w:tr>
      <w:tr w14:paraId="389B9B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686030">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5B19F2F">
            <w:pPr>
              <w:autoSpaceDE w:val="0"/>
              <w:autoSpaceDN w:val="0"/>
              <w:adjustRightInd w:val="0"/>
              <w:snapToGrid w:val="0"/>
              <w:jc w:val="center"/>
              <w:rPr>
                <w:rFonts w:ascii="宋体" w:hAnsi="宋体"/>
                <w:kern w:val="0"/>
                <w:szCs w:val="21"/>
                <w:highlight w:val="none"/>
              </w:rPr>
            </w:pPr>
          </w:p>
        </w:tc>
        <w:tc>
          <w:tcPr>
            <w:tcW w:w="1388" w:type="dxa"/>
            <w:vAlign w:val="center"/>
          </w:tcPr>
          <w:p w14:paraId="2720F041">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EA0FF6C">
            <w:pPr>
              <w:autoSpaceDE w:val="0"/>
              <w:autoSpaceDN w:val="0"/>
              <w:adjustRightInd w:val="0"/>
              <w:snapToGrid w:val="0"/>
              <w:jc w:val="center"/>
              <w:rPr>
                <w:rFonts w:ascii="宋体" w:hAnsi="宋体"/>
                <w:kern w:val="0"/>
                <w:szCs w:val="21"/>
                <w:highlight w:val="none"/>
              </w:rPr>
            </w:pPr>
          </w:p>
        </w:tc>
      </w:tr>
      <w:tr w14:paraId="51F707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E27B4D">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5C3C187">
            <w:pPr>
              <w:autoSpaceDE w:val="0"/>
              <w:autoSpaceDN w:val="0"/>
              <w:adjustRightInd w:val="0"/>
              <w:snapToGrid w:val="0"/>
              <w:jc w:val="center"/>
              <w:rPr>
                <w:rFonts w:ascii="宋体" w:hAnsi="宋体"/>
                <w:kern w:val="0"/>
                <w:szCs w:val="21"/>
                <w:highlight w:val="none"/>
              </w:rPr>
            </w:pPr>
          </w:p>
        </w:tc>
        <w:tc>
          <w:tcPr>
            <w:tcW w:w="1388" w:type="dxa"/>
            <w:vAlign w:val="center"/>
          </w:tcPr>
          <w:p w14:paraId="4F94CA4F">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C4D8A6C">
            <w:pPr>
              <w:autoSpaceDE w:val="0"/>
              <w:autoSpaceDN w:val="0"/>
              <w:adjustRightInd w:val="0"/>
              <w:snapToGrid w:val="0"/>
              <w:jc w:val="center"/>
              <w:rPr>
                <w:rFonts w:ascii="宋体" w:hAnsi="宋体"/>
                <w:kern w:val="0"/>
                <w:szCs w:val="21"/>
                <w:highlight w:val="none"/>
              </w:rPr>
            </w:pPr>
          </w:p>
        </w:tc>
      </w:tr>
      <w:tr w14:paraId="6DF180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CFA8744">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F95FA59">
            <w:pPr>
              <w:autoSpaceDE w:val="0"/>
              <w:autoSpaceDN w:val="0"/>
              <w:adjustRightInd w:val="0"/>
              <w:snapToGrid w:val="0"/>
              <w:jc w:val="center"/>
              <w:rPr>
                <w:rFonts w:ascii="宋体" w:hAnsi="宋体"/>
                <w:kern w:val="0"/>
                <w:szCs w:val="21"/>
                <w:highlight w:val="none"/>
              </w:rPr>
            </w:pPr>
          </w:p>
        </w:tc>
        <w:tc>
          <w:tcPr>
            <w:tcW w:w="1388" w:type="dxa"/>
            <w:vAlign w:val="center"/>
          </w:tcPr>
          <w:p w14:paraId="2643076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98BEE77">
            <w:pPr>
              <w:autoSpaceDE w:val="0"/>
              <w:autoSpaceDN w:val="0"/>
              <w:adjustRightInd w:val="0"/>
              <w:snapToGrid w:val="0"/>
              <w:jc w:val="center"/>
              <w:rPr>
                <w:rFonts w:ascii="宋体" w:hAnsi="宋体"/>
                <w:kern w:val="0"/>
                <w:szCs w:val="21"/>
                <w:highlight w:val="none"/>
              </w:rPr>
            </w:pPr>
          </w:p>
        </w:tc>
      </w:tr>
      <w:tr w14:paraId="2FE858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C61D2DD">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144FD32A">
            <w:pPr>
              <w:autoSpaceDE w:val="0"/>
              <w:autoSpaceDN w:val="0"/>
              <w:adjustRightInd w:val="0"/>
              <w:snapToGrid w:val="0"/>
              <w:jc w:val="center"/>
              <w:rPr>
                <w:rFonts w:ascii="宋体" w:hAnsi="宋体"/>
                <w:kern w:val="0"/>
                <w:szCs w:val="21"/>
                <w:highlight w:val="none"/>
              </w:rPr>
            </w:pPr>
          </w:p>
        </w:tc>
        <w:tc>
          <w:tcPr>
            <w:tcW w:w="1388" w:type="dxa"/>
            <w:vAlign w:val="center"/>
          </w:tcPr>
          <w:p w14:paraId="25881D04">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2B68B1F">
            <w:pPr>
              <w:autoSpaceDE w:val="0"/>
              <w:autoSpaceDN w:val="0"/>
              <w:adjustRightInd w:val="0"/>
              <w:snapToGrid w:val="0"/>
              <w:jc w:val="center"/>
              <w:rPr>
                <w:rFonts w:ascii="宋体" w:hAnsi="宋体"/>
                <w:kern w:val="0"/>
                <w:szCs w:val="21"/>
                <w:highlight w:val="none"/>
              </w:rPr>
            </w:pPr>
          </w:p>
        </w:tc>
      </w:tr>
      <w:tr w14:paraId="4500E8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C6EA60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DEEEC02">
            <w:pPr>
              <w:autoSpaceDE w:val="0"/>
              <w:autoSpaceDN w:val="0"/>
              <w:adjustRightInd w:val="0"/>
              <w:snapToGrid w:val="0"/>
              <w:jc w:val="center"/>
              <w:rPr>
                <w:rFonts w:ascii="宋体" w:hAnsi="宋体"/>
                <w:kern w:val="0"/>
                <w:szCs w:val="21"/>
                <w:highlight w:val="none"/>
              </w:rPr>
            </w:pPr>
          </w:p>
        </w:tc>
        <w:tc>
          <w:tcPr>
            <w:tcW w:w="1388" w:type="dxa"/>
            <w:vAlign w:val="center"/>
          </w:tcPr>
          <w:p w14:paraId="2DA856FF">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8FC4C72">
            <w:pPr>
              <w:autoSpaceDE w:val="0"/>
              <w:autoSpaceDN w:val="0"/>
              <w:adjustRightInd w:val="0"/>
              <w:snapToGrid w:val="0"/>
              <w:jc w:val="center"/>
              <w:rPr>
                <w:rFonts w:ascii="宋体" w:hAnsi="宋体"/>
                <w:kern w:val="0"/>
                <w:szCs w:val="21"/>
                <w:highlight w:val="none"/>
              </w:rPr>
            </w:pPr>
          </w:p>
        </w:tc>
      </w:tr>
      <w:tr w14:paraId="23110E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134D15">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889D5B0">
            <w:pPr>
              <w:autoSpaceDE w:val="0"/>
              <w:autoSpaceDN w:val="0"/>
              <w:adjustRightInd w:val="0"/>
              <w:snapToGrid w:val="0"/>
              <w:jc w:val="center"/>
              <w:rPr>
                <w:rFonts w:ascii="宋体" w:hAnsi="宋体"/>
                <w:kern w:val="0"/>
                <w:szCs w:val="21"/>
                <w:highlight w:val="none"/>
              </w:rPr>
            </w:pPr>
          </w:p>
        </w:tc>
        <w:tc>
          <w:tcPr>
            <w:tcW w:w="1388" w:type="dxa"/>
            <w:vAlign w:val="center"/>
          </w:tcPr>
          <w:p w14:paraId="45AA81A2">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E36F7BA">
            <w:pPr>
              <w:autoSpaceDE w:val="0"/>
              <w:autoSpaceDN w:val="0"/>
              <w:adjustRightInd w:val="0"/>
              <w:snapToGrid w:val="0"/>
              <w:jc w:val="center"/>
              <w:rPr>
                <w:rFonts w:ascii="宋体" w:hAnsi="宋体"/>
                <w:kern w:val="0"/>
                <w:szCs w:val="21"/>
                <w:highlight w:val="none"/>
              </w:rPr>
            </w:pPr>
          </w:p>
        </w:tc>
      </w:tr>
      <w:tr w14:paraId="44671D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0AF9F">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8AE0A22">
            <w:pPr>
              <w:autoSpaceDE w:val="0"/>
              <w:autoSpaceDN w:val="0"/>
              <w:adjustRightInd w:val="0"/>
              <w:snapToGrid w:val="0"/>
              <w:jc w:val="center"/>
              <w:rPr>
                <w:rFonts w:ascii="宋体" w:hAnsi="宋体"/>
                <w:kern w:val="0"/>
                <w:szCs w:val="21"/>
                <w:highlight w:val="none"/>
              </w:rPr>
            </w:pPr>
          </w:p>
        </w:tc>
        <w:tc>
          <w:tcPr>
            <w:tcW w:w="1388" w:type="dxa"/>
            <w:vAlign w:val="center"/>
          </w:tcPr>
          <w:p w14:paraId="347E7231">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A53BB18">
            <w:pPr>
              <w:autoSpaceDE w:val="0"/>
              <w:autoSpaceDN w:val="0"/>
              <w:adjustRightInd w:val="0"/>
              <w:snapToGrid w:val="0"/>
              <w:jc w:val="center"/>
              <w:rPr>
                <w:rFonts w:ascii="宋体" w:hAnsi="宋体"/>
                <w:kern w:val="0"/>
                <w:szCs w:val="21"/>
                <w:highlight w:val="none"/>
              </w:rPr>
            </w:pPr>
          </w:p>
        </w:tc>
      </w:tr>
      <w:tr w14:paraId="4C44F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DBF9972">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6FE03F9">
            <w:pPr>
              <w:autoSpaceDE w:val="0"/>
              <w:autoSpaceDN w:val="0"/>
              <w:adjustRightInd w:val="0"/>
              <w:snapToGrid w:val="0"/>
              <w:jc w:val="center"/>
              <w:rPr>
                <w:rFonts w:ascii="宋体" w:hAnsi="宋体"/>
                <w:kern w:val="0"/>
                <w:szCs w:val="21"/>
                <w:highlight w:val="none"/>
              </w:rPr>
            </w:pPr>
          </w:p>
        </w:tc>
        <w:tc>
          <w:tcPr>
            <w:tcW w:w="1388" w:type="dxa"/>
            <w:vAlign w:val="center"/>
          </w:tcPr>
          <w:p w14:paraId="756349D5">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53F711D">
            <w:pPr>
              <w:autoSpaceDE w:val="0"/>
              <w:autoSpaceDN w:val="0"/>
              <w:adjustRightInd w:val="0"/>
              <w:snapToGrid w:val="0"/>
              <w:jc w:val="center"/>
              <w:rPr>
                <w:rFonts w:ascii="宋体" w:hAnsi="宋体"/>
                <w:kern w:val="0"/>
                <w:szCs w:val="21"/>
                <w:highlight w:val="none"/>
              </w:rPr>
            </w:pPr>
          </w:p>
        </w:tc>
      </w:tr>
      <w:tr w14:paraId="048432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5E8D20">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139BFE33">
            <w:pPr>
              <w:autoSpaceDE w:val="0"/>
              <w:autoSpaceDN w:val="0"/>
              <w:adjustRightInd w:val="0"/>
              <w:snapToGrid w:val="0"/>
              <w:jc w:val="center"/>
              <w:rPr>
                <w:rFonts w:ascii="宋体" w:hAnsi="宋体"/>
                <w:kern w:val="0"/>
                <w:szCs w:val="21"/>
                <w:highlight w:val="none"/>
              </w:rPr>
            </w:pPr>
          </w:p>
        </w:tc>
        <w:tc>
          <w:tcPr>
            <w:tcW w:w="1388" w:type="dxa"/>
            <w:vAlign w:val="center"/>
          </w:tcPr>
          <w:p w14:paraId="0BB5D781">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CC2E659">
            <w:pPr>
              <w:autoSpaceDE w:val="0"/>
              <w:autoSpaceDN w:val="0"/>
              <w:adjustRightInd w:val="0"/>
              <w:snapToGrid w:val="0"/>
              <w:jc w:val="center"/>
              <w:rPr>
                <w:rFonts w:ascii="宋体" w:hAnsi="宋体"/>
                <w:kern w:val="0"/>
                <w:szCs w:val="21"/>
                <w:highlight w:val="none"/>
              </w:rPr>
            </w:pPr>
          </w:p>
        </w:tc>
      </w:tr>
      <w:tr w14:paraId="0624F0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48B3C2F">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85C2C23">
            <w:pPr>
              <w:autoSpaceDE w:val="0"/>
              <w:autoSpaceDN w:val="0"/>
              <w:adjustRightInd w:val="0"/>
              <w:snapToGrid w:val="0"/>
              <w:jc w:val="center"/>
              <w:rPr>
                <w:rFonts w:ascii="宋体" w:hAnsi="宋体"/>
                <w:kern w:val="0"/>
                <w:szCs w:val="21"/>
                <w:highlight w:val="none"/>
              </w:rPr>
            </w:pPr>
          </w:p>
        </w:tc>
        <w:tc>
          <w:tcPr>
            <w:tcW w:w="1388" w:type="dxa"/>
            <w:vAlign w:val="center"/>
          </w:tcPr>
          <w:p w14:paraId="04C1064E">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17BAD5C">
            <w:pPr>
              <w:autoSpaceDE w:val="0"/>
              <w:autoSpaceDN w:val="0"/>
              <w:adjustRightInd w:val="0"/>
              <w:snapToGrid w:val="0"/>
              <w:jc w:val="center"/>
              <w:rPr>
                <w:rFonts w:ascii="宋体" w:hAnsi="宋体"/>
                <w:kern w:val="0"/>
                <w:szCs w:val="21"/>
                <w:highlight w:val="none"/>
              </w:rPr>
            </w:pPr>
          </w:p>
        </w:tc>
      </w:tr>
    </w:tbl>
    <w:p w14:paraId="404FF7D9">
      <w:pPr>
        <w:spacing w:line="360" w:lineRule="auto"/>
        <w:rPr>
          <w:rFonts w:ascii="宋体" w:hAnsi="宋体"/>
          <w:highlight w:val="none"/>
        </w:rPr>
      </w:pPr>
      <w:bookmarkStart w:id="1153" w:name="_Toc224103515"/>
    </w:p>
    <w:p w14:paraId="698850E1">
      <w:pPr>
        <w:pStyle w:val="6"/>
        <w:spacing w:before="0" w:line="360" w:lineRule="auto"/>
        <w:jc w:val="center"/>
        <w:rPr>
          <w:rFonts w:hint="eastAsia" w:ascii="宋体" w:hAnsi="宋体"/>
          <w:b w:val="0"/>
          <w:highlight w:val="none"/>
        </w:rPr>
      </w:pPr>
      <w:bookmarkStart w:id="1154" w:name="_Toc277082660"/>
      <w:bookmarkStart w:id="1155" w:name="_Toc287620834"/>
      <w:bookmarkStart w:id="1156" w:name="_Toc27983329"/>
      <w:bookmarkStart w:id="1157" w:name="_Toc509218864"/>
      <w:bookmarkStart w:id="1158" w:name="_Toc287607888"/>
      <w:bookmarkStart w:id="1159" w:name="_Toc534185841"/>
      <w:bookmarkStart w:id="1160" w:name="_Toc430530550"/>
      <w:r>
        <w:rPr>
          <w:rFonts w:hint="eastAsia" w:ascii="宋体" w:hAnsi="宋体"/>
          <w:b w:val="0"/>
          <w:highlight w:val="none"/>
        </w:rPr>
        <w:t>（</w:t>
      </w:r>
      <w:r>
        <w:rPr>
          <w:rFonts w:hint="eastAsia" w:ascii="宋体" w:hAnsi="宋体"/>
          <w:b w:val="0"/>
          <w:highlight w:val="none"/>
          <w:lang w:val="en-US" w:eastAsia="zh-CN"/>
        </w:rPr>
        <w:t>四</w:t>
      </w:r>
      <w:r>
        <w:rPr>
          <w:rFonts w:hint="eastAsia" w:ascii="宋体" w:hAnsi="宋体"/>
          <w:b w:val="0"/>
          <w:highlight w:val="none"/>
        </w:rPr>
        <w:t>）</w:t>
      </w:r>
      <w:bookmarkEnd w:id="1153"/>
      <w:bookmarkEnd w:id="1154"/>
      <w:bookmarkEnd w:id="1155"/>
      <w:bookmarkEnd w:id="1156"/>
      <w:bookmarkEnd w:id="1157"/>
      <w:bookmarkEnd w:id="1158"/>
      <w:bookmarkEnd w:id="1159"/>
      <w:bookmarkEnd w:id="1160"/>
      <w:bookmarkStart w:id="1161" w:name="_Toc27983331"/>
      <w:bookmarkStart w:id="1162" w:name="_Toc534185843"/>
      <w:bookmarkStart w:id="1163" w:name="_Toc509218866"/>
      <w:r>
        <w:rPr>
          <w:rFonts w:ascii="宋体" w:hAnsi="宋体"/>
          <w:b w:val="0"/>
          <w:highlight w:val="none"/>
        </w:rPr>
        <w:t>投标截止日投标资格情况</w:t>
      </w:r>
      <w:bookmarkEnd w:id="1161"/>
      <w:bookmarkEnd w:id="1162"/>
      <w:bookmarkEnd w:id="1163"/>
    </w:p>
    <w:p w14:paraId="6F9DDE1C">
      <w:pPr>
        <w:rPr>
          <w:rFonts w:hint="eastAsia"/>
          <w:highlight w:val="none"/>
        </w:rPr>
      </w:pPr>
    </w:p>
    <w:p w14:paraId="13EC78D6">
      <w:pPr>
        <w:rPr>
          <w:rFonts w:hint="eastAsia"/>
          <w:highlight w:val="none"/>
        </w:rPr>
      </w:pPr>
    </w:p>
    <w:p w14:paraId="33E2AA3E">
      <w:pPr>
        <w:rPr>
          <w:rFonts w:hint="eastAsia"/>
          <w:highlight w:val="none"/>
        </w:rPr>
      </w:pPr>
    </w:p>
    <w:p w14:paraId="0B5F9A6B">
      <w:pPr>
        <w:rPr>
          <w:rFonts w:hint="eastAsia"/>
          <w:highlight w:val="none"/>
        </w:rPr>
      </w:pPr>
    </w:p>
    <w:p w14:paraId="1B7C2939">
      <w:pPr>
        <w:rPr>
          <w:rFonts w:hint="eastAsia"/>
          <w:highlight w:val="none"/>
        </w:rPr>
      </w:pPr>
    </w:p>
    <w:p w14:paraId="50CB8ABA">
      <w:pPr>
        <w:rPr>
          <w:rFonts w:hint="eastAsia"/>
          <w:highlight w:val="none"/>
        </w:rPr>
      </w:pPr>
    </w:p>
    <w:p w14:paraId="1C9ADBA0">
      <w:pPr>
        <w:pStyle w:val="2"/>
        <w:rPr>
          <w:rFonts w:hint="eastAsia"/>
          <w:highlight w:val="none"/>
        </w:rPr>
      </w:pPr>
    </w:p>
    <w:p w14:paraId="1014989C">
      <w:pPr>
        <w:pStyle w:val="3"/>
        <w:rPr>
          <w:rFonts w:hint="eastAsia"/>
          <w:highlight w:val="none"/>
        </w:rPr>
      </w:pPr>
    </w:p>
    <w:p w14:paraId="1E5779A2">
      <w:pPr>
        <w:rPr>
          <w:rFonts w:hint="eastAsia"/>
          <w:highlight w:val="none"/>
        </w:rPr>
      </w:pPr>
    </w:p>
    <w:p w14:paraId="53910AF4">
      <w:pPr>
        <w:pStyle w:val="2"/>
        <w:rPr>
          <w:rFonts w:hint="eastAsia"/>
          <w:highlight w:val="none"/>
        </w:rPr>
      </w:pPr>
    </w:p>
    <w:p w14:paraId="53F54867">
      <w:pPr>
        <w:pStyle w:val="3"/>
        <w:rPr>
          <w:rFonts w:hint="eastAsia"/>
          <w:highlight w:val="none"/>
        </w:rPr>
      </w:pPr>
    </w:p>
    <w:p w14:paraId="3C7CC185">
      <w:pPr>
        <w:rPr>
          <w:rFonts w:hint="eastAsia"/>
          <w:highlight w:val="none"/>
        </w:rPr>
      </w:pPr>
    </w:p>
    <w:p w14:paraId="0A2216F5">
      <w:pPr>
        <w:pStyle w:val="2"/>
        <w:rPr>
          <w:rFonts w:hint="eastAsia"/>
          <w:highlight w:val="none"/>
        </w:rPr>
      </w:pPr>
    </w:p>
    <w:p w14:paraId="34F0D2DE">
      <w:pPr>
        <w:pStyle w:val="3"/>
        <w:rPr>
          <w:rFonts w:hint="eastAsia"/>
          <w:highlight w:val="none"/>
        </w:rPr>
      </w:pPr>
    </w:p>
    <w:p w14:paraId="2FACAA53">
      <w:pPr>
        <w:rPr>
          <w:rFonts w:hint="eastAsia"/>
          <w:highlight w:val="none"/>
        </w:rPr>
      </w:pPr>
    </w:p>
    <w:p w14:paraId="22E2937D">
      <w:pPr>
        <w:pStyle w:val="2"/>
        <w:rPr>
          <w:rFonts w:hint="eastAsia"/>
          <w:highlight w:val="none"/>
        </w:rPr>
      </w:pPr>
    </w:p>
    <w:p w14:paraId="0FD29EC2">
      <w:pPr>
        <w:pStyle w:val="3"/>
        <w:rPr>
          <w:rFonts w:hint="eastAsia"/>
          <w:highlight w:val="none"/>
        </w:rPr>
      </w:pPr>
    </w:p>
    <w:p w14:paraId="364E295C">
      <w:pPr>
        <w:rPr>
          <w:rFonts w:hint="eastAsia"/>
          <w:highlight w:val="none"/>
        </w:rPr>
      </w:pPr>
    </w:p>
    <w:p w14:paraId="210B4F61">
      <w:pPr>
        <w:pStyle w:val="2"/>
        <w:rPr>
          <w:rFonts w:hint="eastAsia"/>
          <w:highlight w:val="none"/>
        </w:rPr>
      </w:pPr>
    </w:p>
    <w:p w14:paraId="66CDE92D">
      <w:pPr>
        <w:pStyle w:val="3"/>
        <w:rPr>
          <w:rFonts w:hint="eastAsia"/>
          <w:highlight w:val="none"/>
        </w:rPr>
      </w:pPr>
    </w:p>
    <w:p w14:paraId="5F0AAC44">
      <w:pPr>
        <w:rPr>
          <w:rFonts w:hint="eastAsia"/>
          <w:highlight w:val="none"/>
        </w:rPr>
      </w:pPr>
    </w:p>
    <w:p w14:paraId="1BC3875F">
      <w:pPr>
        <w:pStyle w:val="2"/>
        <w:rPr>
          <w:rFonts w:hint="eastAsia"/>
          <w:highlight w:val="none"/>
        </w:rPr>
      </w:pPr>
    </w:p>
    <w:p w14:paraId="7EEF4F83">
      <w:pPr>
        <w:pStyle w:val="3"/>
        <w:rPr>
          <w:rFonts w:hint="eastAsia"/>
          <w:highlight w:val="none"/>
        </w:rPr>
      </w:pPr>
    </w:p>
    <w:p w14:paraId="312F2352">
      <w:pPr>
        <w:rPr>
          <w:rFonts w:hint="eastAsia"/>
          <w:highlight w:val="none"/>
        </w:rPr>
      </w:pPr>
    </w:p>
    <w:p w14:paraId="43DBE2A7">
      <w:pPr>
        <w:pStyle w:val="2"/>
        <w:rPr>
          <w:rFonts w:hint="eastAsia"/>
          <w:highlight w:val="none"/>
        </w:rPr>
      </w:pPr>
    </w:p>
    <w:p w14:paraId="29CB68F7">
      <w:pPr>
        <w:pStyle w:val="3"/>
        <w:rPr>
          <w:rFonts w:hint="eastAsia"/>
          <w:highlight w:val="none"/>
        </w:rPr>
      </w:pPr>
    </w:p>
    <w:p w14:paraId="0000E1D5">
      <w:pPr>
        <w:rPr>
          <w:rFonts w:hint="eastAsia"/>
          <w:highlight w:val="none"/>
        </w:rPr>
      </w:pPr>
    </w:p>
    <w:p w14:paraId="078B8CEF">
      <w:pPr>
        <w:pStyle w:val="2"/>
        <w:rPr>
          <w:rFonts w:hint="eastAsia"/>
          <w:highlight w:val="none"/>
        </w:rPr>
      </w:pPr>
    </w:p>
    <w:p w14:paraId="3D0BD8E5">
      <w:pPr>
        <w:pStyle w:val="3"/>
        <w:rPr>
          <w:rFonts w:hint="eastAsia"/>
          <w:highlight w:val="none"/>
        </w:rPr>
      </w:pPr>
    </w:p>
    <w:p w14:paraId="736AAB86">
      <w:pPr>
        <w:rPr>
          <w:rFonts w:hint="eastAsia"/>
          <w:highlight w:val="none"/>
        </w:rPr>
      </w:pPr>
    </w:p>
    <w:p w14:paraId="6A6D5FF6">
      <w:pPr>
        <w:pStyle w:val="2"/>
        <w:rPr>
          <w:rFonts w:hint="eastAsia"/>
          <w:highlight w:val="none"/>
        </w:rPr>
      </w:pPr>
    </w:p>
    <w:p w14:paraId="5C27020C">
      <w:pPr>
        <w:pStyle w:val="3"/>
        <w:rPr>
          <w:rFonts w:hint="eastAsia"/>
          <w:highlight w:val="none"/>
        </w:rPr>
      </w:pPr>
    </w:p>
    <w:p w14:paraId="32C03374">
      <w:pPr>
        <w:rPr>
          <w:rFonts w:hint="eastAsia"/>
          <w:highlight w:val="none"/>
        </w:rPr>
      </w:pPr>
    </w:p>
    <w:p w14:paraId="39B40107">
      <w:pPr>
        <w:pStyle w:val="2"/>
        <w:rPr>
          <w:rFonts w:hint="eastAsia"/>
          <w:highlight w:val="none"/>
        </w:rPr>
      </w:pPr>
    </w:p>
    <w:p w14:paraId="7D194D1A">
      <w:pPr>
        <w:pStyle w:val="3"/>
        <w:rPr>
          <w:rFonts w:hint="eastAsia"/>
          <w:highlight w:val="none"/>
        </w:rPr>
      </w:pPr>
    </w:p>
    <w:p w14:paraId="331B621A">
      <w:pPr>
        <w:rPr>
          <w:rFonts w:hint="eastAsia"/>
          <w:highlight w:val="none"/>
        </w:rPr>
      </w:pPr>
    </w:p>
    <w:p w14:paraId="711A19F5">
      <w:pPr>
        <w:pStyle w:val="2"/>
        <w:rPr>
          <w:rFonts w:hint="eastAsia"/>
          <w:highlight w:val="none"/>
        </w:rPr>
      </w:pPr>
    </w:p>
    <w:p w14:paraId="216814C8">
      <w:pPr>
        <w:pStyle w:val="3"/>
        <w:rPr>
          <w:rFonts w:hint="eastAsia"/>
          <w:highlight w:val="none"/>
        </w:rPr>
      </w:pPr>
    </w:p>
    <w:p w14:paraId="565B596F">
      <w:pPr>
        <w:rPr>
          <w:rFonts w:hint="eastAsia"/>
          <w:highlight w:val="none"/>
        </w:rPr>
      </w:pPr>
    </w:p>
    <w:p w14:paraId="4EA8D136">
      <w:pPr>
        <w:pStyle w:val="2"/>
        <w:rPr>
          <w:rFonts w:hint="eastAsia"/>
          <w:highlight w:val="none"/>
        </w:rPr>
      </w:pPr>
    </w:p>
    <w:p w14:paraId="4A35E6D4">
      <w:pPr>
        <w:pStyle w:val="3"/>
        <w:rPr>
          <w:rFonts w:hint="eastAsia"/>
          <w:highlight w:val="none"/>
        </w:rPr>
      </w:pPr>
    </w:p>
    <w:p w14:paraId="52F81788">
      <w:pPr>
        <w:rPr>
          <w:rFonts w:hint="eastAsia"/>
          <w:highlight w:val="none"/>
        </w:rPr>
      </w:pPr>
    </w:p>
    <w:p w14:paraId="13C24CD1">
      <w:pPr>
        <w:pStyle w:val="2"/>
        <w:rPr>
          <w:rFonts w:hint="eastAsia"/>
          <w:highlight w:val="none"/>
        </w:rPr>
      </w:pPr>
    </w:p>
    <w:p w14:paraId="19309391">
      <w:pPr>
        <w:pStyle w:val="3"/>
        <w:rPr>
          <w:rFonts w:hint="eastAsia"/>
          <w:highlight w:val="none"/>
        </w:rPr>
      </w:pPr>
    </w:p>
    <w:p w14:paraId="5AE2B873">
      <w:pPr>
        <w:rPr>
          <w:rFonts w:hint="eastAsia"/>
          <w:highlight w:val="none"/>
        </w:rPr>
      </w:pPr>
    </w:p>
    <w:p w14:paraId="53FC17FC">
      <w:pPr>
        <w:pStyle w:val="2"/>
        <w:rPr>
          <w:rFonts w:hint="eastAsia"/>
          <w:highlight w:val="none"/>
        </w:rPr>
      </w:pPr>
    </w:p>
    <w:p w14:paraId="4702B4A2">
      <w:pPr>
        <w:pStyle w:val="3"/>
        <w:rPr>
          <w:rFonts w:hint="eastAsia"/>
          <w:highlight w:val="none"/>
        </w:rPr>
      </w:pPr>
    </w:p>
    <w:p w14:paraId="2C94FB24">
      <w:pPr>
        <w:pStyle w:val="6"/>
        <w:spacing w:before="0" w:line="360" w:lineRule="auto"/>
        <w:jc w:val="center"/>
        <w:rPr>
          <w:rFonts w:ascii="宋体" w:hAnsi="宋体"/>
          <w:highlight w:val="none"/>
        </w:rPr>
      </w:pPr>
      <w:bookmarkStart w:id="1164" w:name="_Toc27983333"/>
      <w:r>
        <w:rPr>
          <w:rFonts w:hint="eastAsia" w:ascii="宋体" w:hAnsi="宋体"/>
          <w:b w:val="0"/>
          <w:highlight w:val="none"/>
        </w:rPr>
        <w:t>（</w:t>
      </w:r>
      <w:r>
        <w:rPr>
          <w:rFonts w:hint="eastAsia" w:ascii="宋体" w:hAnsi="宋体"/>
          <w:b w:val="0"/>
          <w:highlight w:val="none"/>
          <w:lang w:val="en-US" w:eastAsia="zh-CN"/>
        </w:rPr>
        <w:t>五</w:t>
      </w:r>
      <w:r>
        <w:rPr>
          <w:rFonts w:hint="eastAsia" w:ascii="宋体" w:hAnsi="宋体"/>
          <w:b w:val="0"/>
          <w:highlight w:val="none"/>
        </w:rPr>
        <w:t>）其他资料</w:t>
      </w:r>
      <w:bookmarkEnd w:id="1164"/>
    </w:p>
    <w:bookmarkEnd w:id="471"/>
    <w:bookmarkEnd w:id="472"/>
    <w:bookmarkEnd w:id="473"/>
    <w:p w14:paraId="2F07DE93">
      <w:pPr>
        <w:rPr>
          <w:rFonts w:ascii="宋体" w:hAnsi="宋体"/>
          <w:b/>
          <w:highlight w:val="none"/>
        </w:rPr>
      </w:pPr>
    </w:p>
    <w:p w14:paraId="29B913E4">
      <w:pPr>
        <w:pStyle w:val="2"/>
        <w:rPr>
          <w:rFonts w:ascii="宋体" w:hAnsi="宋体"/>
          <w:b/>
          <w:highlight w:val="none"/>
        </w:rPr>
      </w:pPr>
    </w:p>
    <w:p w14:paraId="51D76905">
      <w:pPr>
        <w:pStyle w:val="3"/>
        <w:rPr>
          <w:rFonts w:ascii="宋体" w:hAnsi="宋体"/>
          <w:b/>
          <w:highlight w:val="none"/>
        </w:rPr>
      </w:pPr>
    </w:p>
    <w:p w14:paraId="5504B9B1">
      <w:pPr>
        <w:rPr>
          <w:rFonts w:ascii="宋体" w:hAnsi="宋体"/>
          <w:b/>
          <w:highlight w:val="none"/>
        </w:rPr>
      </w:pPr>
    </w:p>
    <w:p w14:paraId="18039567">
      <w:pPr>
        <w:pStyle w:val="2"/>
        <w:rPr>
          <w:rFonts w:ascii="宋体" w:hAnsi="宋体"/>
          <w:b/>
          <w:highlight w:val="none"/>
        </w:rPr>
      </w:pPr>
    </w:p>
    <w:p w14:paraId="75483CA6">
      <w:pPr>
        <w:pStyle w:val="3"/>
        <w:rPr>
          <w:rFonts w:ascii="宋体" w:hAnsi="宋体"/>
          <w:b/>
          <w:highlight w:val="none"/>
        </w:rPr>
      </w:pPr>
    </w:p>
    <w:p w14:paraId="2581B31C">
      <w:pPr>
        <w:rPr>
          <w:rFonts w:ascii="宋体" w:hAnsi="宋体"/>
          <w:b/>
          <w:highlight w:val="none"/>
        </w:rPr>
      </w:pPr>
    </w:p>
    <w:p w14:paraId="4114A884">
      <w:pPr>
        <w:pStyle w:val="2"/>
        <w:ind w:firstLine="3654" w:firstLineChars="1300"/>
        <w:rPr>
          <w:rFonts w:hint="eastAsia" w:ascii="宋体" w:hAnsi="宋体"/>
          <w:b/>
          <w:sz w:val="28"/>
          <w:szCs w:val="28"/>
          <w:highlight w:val="none"/>
          <w:lang w:val="en-US" w:eastAsia="zh-CN"/>
        </w:rPr>
      </w:pPr>
      <w:r>
        <w:rPr>
          <w:rFonts w:hint="eastAsia" w:ascii="宋体" w:hAnsi="宋体"/>
          <w:b/>
          <w:sz w:val="28"/>
          <w:szCs w:val="28"/>
          <w:highlight w:val="none"/>
          <w:lang w:val="en-US" w:eastAsia="zh-CN"/>
        </w:rPr>
        <w:t>（完    结）</w:t>
      </w:r>
    </w:p>
    <w:p w14:paraId="30A10694">
      <w:pPr>
        <w:pStyle w:val="3"/>
        <w:rPr>
          <w:rFonts w:hint="eastAsia" w:ascii="宋体" w:hAnsi="宋体"/>
          <w:b/>
          <w:sz w:val="28"/>
          <w:szCs w:val="28"/>
          <w:highlight w:val="none"/>
          <w:lang w:val="en-US" w:eastAsia="zh-CN"/>
        </w:rPr>
      </w:pPr>
    </w:p>
    <w:p w14:paraId="4AD4DA85">
      <w:pPr>
        <w:rPr>
          <w:rFonts w:hint="eastAsia" w:ascii="宋体" w:hAnsi="宋体"/>
          <w:b/>
          <w:sz w:val="28"/>
          <w:szCs w:val="28"/>
          <w:highlight w:val="none"/>
          <w:lang w:val="en-US" w:eastAsia="zh-CN"/>
        </w:rPr>
      </w:pPr>
    </w:p>
    <w:p w14:paraId="72D48D03">
      <w:pPr>
        <w:pStyle w:val="2"/>
        <w:rPr>
          <w:rFonts w:hint="eastAsia" w:ascii="宋体" w:hAnsi="宋体"/>
          <w:b/>
          <w:sz w:val="28"/>
          <w:szCs w:val="28"/>
          <w:highlight w:val="none"/>
          <w:lang w:val="en-US" w:eastAsia="zh-CN"/>
        </w:rPr>
      </w:pPr>
    </w:p>
    <w:p w14:paraId="4690224F">
      <w:pPr>
        <w:pStyle w:val="3"/>
        <w:rPr>
          <w:rFonts w:hint="eastAsia" w:ascii="宋体" w:hAnsi="宋体"/>
          <w:b/>
          <w:sz w:val="28"/>
          <w:szCs w:val="28"/>
          <w:highlight w:val="none"/>
          <w:lang w:val="en-US" w:eastAsia="zh-CN"/>
        </w:rPr>
      </w:pPr>
    </w:p>
    <w:p w14:paraId="7B1F7B77">
      <w:pPr>
        <w:rPr>
          <w:rFonts w:hint="eastAsia" w:ascii="宋体" w:hAnsi="宋体"/>
          <w:b/>
          <w:sz w:val="28"/>
          <w:szCs w:val="28"/>
          <w:highlight w:val="none"/>
          <w:lang w:val="en-US" w:eastAsia="zh-CN"/>
        </w:rPr>
      </w:pPr>
    </w:p>
    <w:p w14:paraId="224088E4">
      <w:pPr>
        <w:pStyle w:val="2"/>
        <w:rPr>
          <w:rFonts w:hint="eastAsia" w:ascii="宋体" w:hAnsi="宋体"/>
          <w:b/>
          <w:sz w:val="28"/>
          <w:szCs w:val="28"/>
          <w:highlight w:val="none"/>
          <w:lang w:val="en-US" w:eastAsia="zh-CN"/>
        </w:rPr>
      </w:pPr>
    </w:p>
    <w:p w14:paraId="00287F12">
      <w:pPr>
        <w:pStyle w:val="3"/>
        <w:rPr>
          <w:rFonts w:hint="eastAsia" w:ascii="宋体" w:hAnsi="宋体"/>
          <w:b/>
          <w:sz w:val="28"/>
          <w:szCs w:val="28"/>
          <w:highlight w:val="none"/>
          <w:lang w:val="en-US" w:eastAsia="zh-CN"/>
        </w:rPr>
      </w:pPr>
    </w:p>
    <w:p w14:paraId="49B7C048">
      <w:pPr>
        <w:rPr>
          <w:rFonts w:hint="eastAsia" w:ascii="宋体" w:hAnsi="宋体"/>
          <w:b/>
          <w:sz w:val="28"/>
          <w:szCs w:val="28"/>
          <w:highlight w:val="none"/>
          <w:lang w:val="en-US" w:eastAsia="zh-CN"/>
        </w:rPr>
      </w:pPr>
    </w:p>
    <w:p w14:paraId="49D98E02">
      <w:pPr>
        <w:pStyle w:val="2"/>
        <w:rPr>
          <w:rFonts w:hint="eastAsia" w:ascii="宋体" w:hAnsi="宋体"/>
          <w:b/>
          <w:sz w:val="28"/>
          <w:szCs w:val="28"/>
          <w:highlight w:val="none"/>
          <w:lang w:val="en-US" w:eastAsia="zh-CN"/>
        </w:rPr>
      </w:pPr>
    </w:p>
    <w:p w14:paraId="034BEA30">
      <w:pPr>
        <w:pStyle w:val="3"/>
        <w:rPr>
          <w:rFonts w:hint="eastAsia" w:ascii="宋体" w:hAnsi="宋体"/>
          <w:b/>
          <w:sz w:val="28"/>
          <w:szCs w:val="28"/>
          <w:highlight w:val="none"/>
          <w:lang w:val="en-US" w:eastAsia="zh-CN"/>
        </w:rPr>
      </w:pPr>
    </w:p>
    <w:p w14:paraId="62DF498F">
      <w:pPr>
        <w:rPr>
          <w:rFonts w:hint="eastAsia" w:ascii="宋体" w:hAnsi="宋体"/>
          <w:b/>
          <w:sz w:val="28"/>
          <w:szCs w:val="28"/>
          <w:highlight w:val="none"/>
          <w:lang w:val="en-US" w:eastAsia="zh-CN"/>
        </w:rPr>
      </w:pPr>
    </w:p>
    <w:p w14:paraId="0974219E">
      <w:pPr>
        <w:pStyle w:val="2"/>
        <w:rPr>
          <w:rFonts w:hint="eastAsia" w:ascii="宋体" w:hAnsi="宋体"/>
          <w:b/>
          <w:sz w:val="28"/>
          <w:szCs w:val="28"/>
          <w:highlight w:val="none"/>
          <w:lang w:val="en-US" w:eastAsia="zh-CN"/>
        </w:rPr>
      </w:pPr>
    </w:p>
    <w:p w14:paraId="6E650B78">
      <w:pPr>
        <w:pStyle w:val="3"/>
        <w:rPr>
          <w:rFonts w:hint="eastAsia" w:ascii="宋体" w:hAnsi="宋体"/>
          <w:b/>
          <w:sz w:val="28"/>
          <w:szCs w:val="28"/>
          <w:highlight w:val="none"/>
          <w:lang w:val="en-US" w:eastAsia="zh-CN"/>
        </w:rPr>
      </w:pPr>
    </w:p>
    <w:p w14:paraId="3634F51E">
      <w:pPr>
        <w:rPr>
          <w:rFonts w:hint="eastAsia" w:ascii="宋体" w:hAnsi="宋体"/>
          <w:b/>
          <w:sz w:val="28"/>
          <w:szCs w:val="28"/>
          <w:highlight w:val="none"/>
          <w:lang w:val="en-US" w:eastAsia="zh-CN"/>
        </w:rPr>
      </w:pPr>
    </w:p>
    <w:p w14:paraId="2644EC5E">
      <w:pPr>
        <w:pStyle w:val="2"/>
        <w:rPr>
          <w:rFonts w:hint="eastAsia" w:ascii="宋体" w:hAnsi="宋体"/>
          <w:b/>
          <w:sz w:val="28"/>
          <w:szCs w:val="28"/>
          <w:highlight w:val="none"/>
          <w:lang w:val="en-US" w:eastAsia="zh-CN"/>
        </w:rPr>
      </w:pPr>
    </w:p>
    <w:p w14:paraId="28559E4B">
      <w:pPr>
        <w:pStyle w:val="3"/>
        <w:rPr>
          <w:rFonts w:hint="eastAsia" w:ascii="宋体" w:hAnsi="宋体"/>
          <w:b/>
          <w:sz w:val="28"/>
          <w:szCs w:val="28"/>
          <w:highlight w:val="none"/>
          <w:lang w:val="en-US" w:eastAsia="zh-CN"/>
        </w:rPr>
      </w:pPr>
    </w:p>
    <w:p w14:paraId="09414D90">
      <w:pPr>
        <w:rPr>
          <w:rFonts w:hint="eastAsia" w:ascii="宋体" w:hAnsi="宋体"/>
          <w:b/>
          <w:sz w:val="28"/>
          <w:szCs w:val="28"/>
          <w:highlight w:val="none"/>
          <w:lang w:val="en-US" w:eastAsia="zh-CN"/>
        </w:rPr>
      </w:pPr>
    </w:p>
    <w:p w14:paraId="187D927D">
      <w:pPr>
        <w:pStyle w:val="2"/>
        <w:rPr>
          <w:rFonts w:hint="eastAsia" w:ascii="宋体" w:hAnsi="宋体"/>
          <w:b/>
          <w:sz w:val="28"/>
          <w:szCs w:val="28"/>
          <w:highlight w:val="none"/>
          <w:lang w:val="en-US" w:eastAsia="zh-CN"/>
        </w:rPr>
      </w:pPr>
    </w:p>
    <w:p w14:paraId="0E3FBF78">
      <w:pPr>
        <w:pStyle w:val="3"/>
        <w:rPr>
          <w:rFonts w:hint="eastAsia" w:ascii="宋体" w:hAnsi="宋体"/>
          <w:b/>
          <w:sz w:val="28"/>
          <w:szCs w:val="28"/>
          <w:highlight w:val="none"/>
          <w:lang w:val="en-US" w:eastAsia="zh-CN"/>
        </w:rPr>
      </w:pPr>
    </w:p>
    <w:p w14:paraId="54648B29">
      <w:pPr>
        <w:rPr>
          <w:rFonts w:hint="eastAsia" w:ascii="宋体" w:hAnsi="宋体"/>
          <w:b/>
          <w:sz w:val="28"/>
          <w:szCs w:val="28"/>
          <w:highlight w:val="none"/>
          <w:lang w:val="en-US" w:eastAsia="zh-CN"/>
        </w:rPr>
      </w:pPr>
    </w:p>
    <w:p w14:paraId="27E64621">
      <w:pPr>
        <w:pStyle w:val="2"/>
        <w:rPr>
          <w:rFonts w:hint="eastAsia" w:ascii="宋体" w:hAnsi="宋体"/>
          <w:b/>
          <w:sz w:val="28"/>
          <w:szCs w:val="28"/>
          <w:highlight w:val="none"/>
          <w:lang w:val="en-US" w:eastAsia="zh-CN"/>
        </w:rPr>
      </w:pPr>
    </w:p>
    <w:p w14:paraId="375EE412">
      <w:pPr>
        <w:pStyle w:val="3"/>
        <w:rPr>
          <w:rFonts w:hint="eastAsia" w:ascii="宋体" w:hAnsi="宋体"/>
          <w:b/>
          <w:sz w:val="28"/>
          <w:szCs w:val="28"/>
          <w:highlight w:val="none"/>
          <w:lang w:val="en-US" w:eastAsia="zh-CN"/>
        </w:rPr>
      </w:pPr>
    </w:p>
    <w:p w14:paraId="098863A7">
      <w:pPr>
        <w:rPr>
          <w:rFonts w:hint="eastAsia" w:ascii="宋体" w:hAnsi="宋体"/>
          <w:b/>
          <w:sz w:val="28"/>
          <w:szCs w:val="28"/>
          <w:highlight w:val="none"/>
          <w:lang w:val="en-US" w:eastAsia="zh-CN"/>
        </w:rPr>
      </w:pPr>
    </w:p>
    <w:p w14:paraId="51E4A110">
      <w:pPr>
        <w:pStyle w:val="2"/>
        <w:rPr>
          <w:rFonts w:hint="eastAsia" w:ascii="宋体" w:hAnsi="宋体"/>
          <w:b/>
          <w:sz w:val="28"/>
          <w:szCs w:val="28"/>
          <w:highlight w:val="none"/>
          <w:lang w:val="en-US" w:eastAsia="zh-CN"/>
        </w:rPr>
      </w:pPr>
    </w:p>
    <w:p w14:paraId="368A8CFD">
      <w:pPr>
        <w:pStyle w:val="3"/>
        <w:rPr>
          <w:rFonts w:hint="eastAsia" w:ascii="宋体" w:hAnsi="宋体"/>
          <w:b/>
          <w:sz w:val="28"/>
          <w:szCs w:val="28"/>
          <w:highlight w:val="none"/>
          <w:lang w:val="en-US" w:eastAsia="zh-CN"/>
        </w:rPr>
      </w:pPr>
    </w:p>
    <w:p w14:paraId="649ECE53">
      <w:pPr>
        <w:rPr>
          <w:rFonts w:hint="eastAsia" w:ascii="宋体" w:hAnsi="宋体"/>
          <w:b/>
          <w:sz w:val="28"/>
          <w:szCs w:val="28"/>
          <w:highlight w:val="none"/>
          <w:lang w:val="en-US" w:eastAsia="zh-CN"/>
        </w:rPr>
      </w:pPr>
    </w:p>
    <w:p w14:paraId="01D9B04E">
      <w:pPr>
        <w:widowControl/>
        <w:adjustRightInd w:val="0"/>
        <w:snapToGrid w:val="0"/>
        <w:spacing w:line="500" w:lineRule="exact"/>
        <w:jc w:val="left"/>
        <w:rPr>
          <w:rFonts w:ascii="仿宋" w:hAnsi="仿宋" w:eastAsia="仿宋" w:cs="宋体"/>
          <w:color w:val="auto"/>
          <w:kern w:val="0"/>
          <w:sz w:val="28"/>
          <w:szCs w:val="28"/>
          <w:highlight w:val="none"/>
        </w:rPr>
      </w:pPr>
    </w:p>
    <w:sectPr>
      <w:footerReference r:id="rId7" w:type="first"/>
      <w:headerReference r:id="rId5" w:type="default"/>
      <w:footerReference r:id="rId6" w:type="default"/>
      <w:pgSz w:w="11906" w:h="16838"/>
      <w:pgMar w:top="1247" w:right="1133" w:bottom="1247" w:left="993"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C9BB">
    <w:pPr>
      <w:pStyle w:val="34"/>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BD0D">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0D65">
    <w:pPr>
      <w:pStyle w:val="34"/>
      <w:jc w:val="center"/>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8CCCFF">
                          <w:pPr>
                            <w:pStyle w:val="34"/>
                            <w:rPr>
                              <w:rStyle w:val="57"/>
                            </w:rPr>
                          </w:pPr>
                          <w:r>
                            <w:fldChar w:fldCharType="begin"/>
                          </w:r>
                          <w:r>
                            <w:rPr>
                              <w:rStyle w:val="57"/>
                            </w:rPr>
                            <w:instrText xml:space="preserve">PAGE  </w:instrText>
                          </w:r>
                          <w:r>
                            <w:fldChar w:fldCharType="separate"/>
                          </w:r>
                          <w:r>
                            <w:rPr>
                              <w:rStyle w:val="57"/>
                            </w:rPr>
                            <w:t>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xeT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fxeT80BAACnAwAADgAAAAAAAAABACAAAAAeAQAAZHJzL2Uy&#10;b0RvYy54bWxQSwUGAAAAAAYABgBZAQAAXQUAAAAA&#10;">
              <v:fill on="f" focussize="0,0"/>
              <v:stroke on="f"/>
              <v:imagedata o:title=""/>
              <o:lock v:ext="edit" aspectratio="f"/>
              <v:textbox inset="0mm,0mm,0mm,0mm" style="mso-fit-shape-to-text:t;">
                <w:txbxContent>
                  <w:p w14:paraId="4C8CCCFF">
                    <w:pPr>
                      <w:pStyle w:val="34"/>
                      <w:rPr>
                        <w:rStyle w:val="57"/>
                      </w:rPr>
                    </w:pPr>
                    <w:r>
                      <w:fldChar w:fldCharType="begin"/>
                    </w:r>
                    <w:r>
                      <w:rPr>
                        <w:rStyle w:val="57"/>
                      </w:rPr>
                      <w:instrText xml:space="preserve">PAGE  </w:instrText>
                    </w:r>
                    <w:r>
                      <w:fldChar w:fldCharType="separate"/>
                    </w:r>
                    <w:r>
                      <w:rPr>
                        <w:rStyle w:val="57"/>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6145">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4D89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14:paraId="7F4D89B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B99A">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481F4"/>
    <w:multiLevelType w:val="singleLevel"/>
    <w:tmpl w:val="F24481F4"/>
    <w:lvl w:ilvl="0" w:tentative="0">
      <w:start w:val="4"/>
      <w:numFmt w:val="decimal"/>
      <w:suff w:val="nothing"/>
      <w:lvlText w:val="%1、"/>
      <w:lvlJc w:val="left"/>
      <w:pPr>
        <w:ind w:left="386" w:leftChars="0" w:firstLine="0" w:firstLineChars="0"/>
      </w:pPr>
    </w:lvl>
  </w:abstractNum>
  <w:abstractNum w:abstractNumId="1">
    <w:nsid w:val="00000002"/>
    <w:multiLevelType w:val="multilevel"/>
    <w:tmpl w:val="00000002"/>
    <w:lvl w:ilvl="0" w:tentative="0">
      <w:start w:val="1"/>
      <w:numFmt w:val="decimal"/>
      <w:pStyle w:val="28"/>
      <w:lvlText w:val="%1．"/>
      <w:lvlJc w:val="left"/>
      <w:pPr>
        <w:ind w:left="360" w:hanging="360"/>
      </w:pPr>
      <w:rPr>
        <w:rFonts w:hint="default"/>
      </w:rPr>
    </w:lvl>
    <w:lvl w:ilvl="1" w:tentative="0">
      <w:start w:val="1"/>
      <w:numFmt w:val="decimal"/>
      <w:lvlText w:val="2.%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2">
    <w:nsid w:val="00000005"/>
    <w:multiLevelType w:val="multilevel"/>
    <w:tmpl w:val="00000005"/>
    <w:lvl w:ilvl="0" w:tentative="0">
      <w:start w:val="1"/>
      <w:numFmt w:val="decimal"/>
      <w:pStyle w:val="15"/>
      <w:lvlText w:val="%1."/>
      <w:lvlJc w:val="left"/>
      <w:pPr>
        <w:ind w:left="780" w:hanging="360"/>
      </w:pPr>
      <w:rPr>
        <w:rFonts w:hint="default"/>
        <w:color w:val="auto"/>
      </w:r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3">
    <w:nsid w:val="0000000D"/>
    <w:multiLevelType w:val="multilevel"/>
    <w:tmpl w:val="0000000D"/>
    <w:lvl w:ilvl="0" w:tentative="0">
      <w:start w:val="1"/>
      <w:numFmt w:val="decimal"/>
      <w:pStyle w:val="23"/>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4">
    <w:nsid w:val="0000000F"/>
    <w:multiLevelType w:val="multilevel"/>
    <w:tmpl w:val="0000000F"/>
    <w:lvl w:ilvl="0" w:tentative="0">
      <w:start w:val="1"/>
      <w:numFmt w:val="bullet"/>
      <w:pStyle w:val="20"/>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3"/>
    <w:multiLevelType w:val="multilevel"/>
    <w:tmpl w:val="00000013"/>
    <w:lvl w:ilvl="0" w:tentative="0">
      <w:start w:val="1"/>
      <w:numFmt w:val="decimal"/>
      <w:pStyle w:val="16"/>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6">
    <w:nsid w:val="00000014"/>
    <w:multiLevelType w:val="singleLevel"/>
    <w:tmpl w:val="00000014"/>
    <w:lvl w:ilvl="0" w:tentative="0">
      <w:start w:val="15"/>
      <w:numFmt w:val="chineseCounting"/>
      <w:suff w:val="nothing"/>
      <w:lvlText w:val="%1、"/>
      <w:lvlJc w:val="left"/>
      <w:rPr>
        <w:rFonts w:hint="eastAsia"/>
      </w:rPr>
    </w:lvl>
  </w:abstractNum>
  <w:abstractNum w:abstractNumId="7">
    <w:nsid w:val="00000016"/>
    <w:multiLevelType w:val="singleLevel"/>
    <w:tmpl w:val="00000016"/>
    <w:lvl w:ilvl="0" w:tentative="0">
      <w:start w:val="1"/>
      <w:numFmt w:val="decimal"/>
      <w:suff w:val="nothing"/>
      <w:lvlText w:val="%1．"/>
      <w:lvlJc w:val="left"/>
    </w:lvl>
  </w:abstractNum>
  <w:abstractNum w:abstractNumId="8">
    <w:nsid w:val="0000001B"/>
    <w:multiLevelType w:val="singleLevel"/>
    <w:tmpl w:val="0000001B"/>
    <w:lvl w:ilvl="0" w:tentative="0">
      <w:start w:val="1"/>
      <w:numFmt w:val="decimal"/>
      <w:suff w:val="nothing"/>
      <w:lvlText w:val="%1．"/>
      <w:lvlJc w:val="left"/>
    </w:lvl>
  </w:abstractNum>
  <w:abstractNum w:abstractNumId="9">
    <w:nsid w:val="00000027"/>
    <w:multiLevelType w:val="singleLevel"/>
    <w:tmpl w:val="00000027"/>
    <w:lvl w:ilvl="0" w:tentative="0">
      <w:start w:val="1"/>
      <w:numFmt w:val="decimal"/>
      <w:suff w:val="nothing"/>
      <w:lvlText w:val="%1．"/>
      <w:lvlJc w:val="left"/>
    </w:lvl>
  </w:abstractNum>
  <w:abstractNum w:abstractNumId="10">
    <w:nsid w:val="0000002A"/>
    <w:multiLevelType w:val="singleLevel"/>
    <w:tmpl w:val="0000002A"/>
    <w:lvl w:ilvl="0" w:tentative="0">
      <w:start w:val="1"/>
      <w:numFmt w:val="chineseCounting"/>
      <w:suff w:val="nothing"/>
      <w:lvlText w:val="%1、"/>
      <w:lvlJc w:val="left"/>
      <w:rPr>
        <w:rFonts w:hint="eastAsia"/>
      </w:rPr>
    </w:lvl>
  </w:abstractNum>
  <w:abstractNum w:abstractNumId="11">
    <w:nsid w:val="0000002B"/>
    <w:multiLevelType w:val="singleLevel"/>
    <w:tmpl w:val="0000002B"/>
    <w:lvl w:ilvl="0" w:tentative="0">
      <w:start w:val="1"/>
      <w:numFmt w:val="chineseCounting"/>
      <w:suff w:val="nothing"/>
      <w:lvlText w:val="%1、"/>
      <w:lvlJc w:val="left"/>
      <w:rPr>
        <w:rFonts w:hint="eastAsia"/>
      </w:rPr>
    </w:lvl>
  </w:abstractNum>
  <w:abstractNum w:abstractNumId="12">
    <w:nsid w:val="6B486B7D"/>
    <w:multiLevelType w:val="singleLevel"/>
    <w:tmpl w:val="6B486B7D"/>
    <w:lvl w:ilvl="0" w:tentative="0">
      <w:start w:val="2"/>
      <w:numFmt w:val="decimal"/>
      <w:lvlText w:val="%1."/>
      <w:lvlJc w:val="left"/>
      <w:pPr>
        <w:tabs>
          <w:tab w:val="left" w:pos="312"/>
        </w:tabs>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12"/>
  </w:num>
  <w:num w:numId="8">
    <w:abstractNumId w:val="10"/>
  </w:num>
  <w:num w:numId="9">
    <w:abstractNumId w:val="7"/>
  </w:num>
  <w:num w:numId="10">
    <w:abstractNumId w:val="8"/>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Y0YjVhNDViZDQzZTIwOWM0OWZkZjI0Zjc5N2MifQ=="/>
  </w:docVars>
  <w:rsids>
    <w:rsidRoot w:val="00172A27"/>
    <w:rsid w:val="000012C6"/>
    <w:rsid w:val="000024B8"/>
    <w:rsid w:val="00002964"/>
    <w:rsid w:val="000043BA"/>
    <w:rsid w:val="00004BB6"/>
    <w:rsid w:val="00011081"/>
    <w:rsid w:val="00011C6E"/>
    <w:rsid w:val="00022741"/>
    <w:rsid w:val="000247D7"/>
    <w:rsid w:val="00024BD2"/>
    <w:rsid w:val="00026749"/>
    <w:rsid w:val="00027768"/>
    <w:rsid w:val="000310F6"/>
    <w:rsid w:val="00031B5C"/>
    <w:rsid w:val="00032215"/>
    <w:rsid w:val="0003391C"/>
    <w:rsid w:val="0003487F"/>
    <w:rsid w:val="00034C78"/>
    <w:rsid w:val="00040E38"/>
    <w:rsid w:val="00042B35"/>
    <w:rsid w:val="00044CED"/>
    <w:rsid w:val="00045F53"/>
    <w:rsid w:val="00046D36"/>
    <w:rsid w:val="0005458D"/>
    <w:rsid w:val="000562BA"/>
    <w:rsid w:val="000564F5"/>
    <w:rsid w:val="0006429F"/>
    <w:rsid w:val="0006785E"/>
    <w:rsid w:val="00071A53"/>
    <w:rsid w:val="00075E92"/>
    <w:rsid w:val="000769FD"/>
    <w:rsid w:val="00077CE2"/>
    <w:rsid w:val="00082AFE"/>
    <w:rsid w:val="000845C7"/>
    <w:rsid w:val="00085784"/>
    <w:rsid w:val="00087B3D"/>
    <w:rsid w:val="00087C11"/>
    <w:rsid w:val="00091835"/>
    <w:rsid w:val="00091902"/>
    <w:rsid w:val="00094C50"/>
    <w:rsid w:val="000971EF"/>
    <w:rsid w:val="000A1C86"/>
    <w:rsid w:val="000A1DA9"/>
    <w:rsid w:val="000A1F5A"/>
    <w:rsid w:val="000A38A5"/>
    <w:rsid w:val="000A3A3B"/>
    <w:rsid w:val="000A7168"/>
    <w:rsid w:val="000A7192"/>
    <w:rsid w:val="000A7882"/>
    <w:rsid w:val="000A7C08"/>
    <w:rsid w:val="000B44ED"/>
    <w:rsid w:val="000B617A"/>
    <w:rsid w:val="000B7B16"/>
    <w:rsid w:val="000C47FC"/>
    <w:rsid w:val="000C49C2"/>
    <w:rsid w:val="000C755A"/>
    <w:rsid w:val="000C76CC"/>
    <w:rsid w:val="000D01B7"/>
    <w:rsid w:val="000D2E81"/>
    <w:rsid w:val="000D3342"/>
    <w:rsid w:val="000D4FF8"/>
    <w:rsid w:val="000D5EA1"/>
    <w:rsid w:val="000E116D"/>
    <w:rsid w:val="000E74AB"/>
    <w:rsid w:val="000F243E"/>
    <w:rsid w:val="000F78E0"/>
    <w:rsid w:val="001019A2"/>
    <w:rsid w:val="00102372"/>
    <w:rsid w:val="0010295B"/>
    <w:rsid w:val="00105A20"/>
    <w:rsid w:val="00106705"/>
    <w:rsid w:val="00106FB6"/>
    <w:rsid w:val="00111236"/>
    <w:rsid w:val="00111D0E"/>
    <w:rsid w:val="00113B10"/>
    <w:rsid w:val="00113F33"/>
    <w:rsid w:val="00114B85"/>
    <w:rsid w:val="0012125D"/>
    <w:rsid w:val="00122017"/>
    <w:rsid w:val="00123DEA"/>
    <w:rsid w:val="001325C8"/>
    <w:rsid w:val="00132DF2"/>
    <w:rsid w:val="00133E89"/>
    <w:rsid w:val="00133F0A"/>
    <w:rsid w:val="0013407F"/>
    <w:rsid w:val="001343CC"/>
    <w:rsid w:val="00137443"/>
    <w:rsid w:val="00140F79"/>
    <w:rsid w:val="00141B98"/>
    <w:rsid w:val="00142213"/>
    <w:rsid w:val="00142B76"/>
    <w:rsid w:val="00146426"/>
    <w:rsid w:val="0016051A"/>
    <w:rsid w:val="00163378"/>
    <w:rsid w:val="00165191"/>
    <w:rsid w:val="00166A28"/>
    <w:rsid w:val="00171A18"/>
    <w:rsid w:val="00172A27"/>
    <w:rsid w:val="00175569"/>
    <w:rsid w:val="0017614B"/>
    <w:rsid w:val="00176DAC"/>
    <w:rsid w:val="00180274"/>
    <w:rsid w:val="00182340"/>
    <w:rsid w:val="00182C69"/>
    <w:rsid w:val="0018420E"/>
    <w:rsid w:val="00186706"/>
    <w:rsid w:val="00193C2E"/>
    <w:rsid w:val="00193C36"/>
    <w:rsid w:val="00193F9E"/>
    <w:rsid w:val="00194997"/>
    <w:rsid w:val="001971FD"/>
    <w:rsid w:val="0019742B"/>
    <w:rsid w:val="001A1EE8"/>
    <w:rsid w:val="001A236D"/>
    <w:rsid w:val="001A3692"/>
    <w:rsid w:val="001A43F2"/>
    <w:rsid w:val="001A4570"/>
    <w:rsid w:val="001A4729"/>
    <w:rsid w:val="001A636E"/>
    <w:rsid w:val="001A6745"/>
    <w:rsid w:val="001A6A46"/>
    <w:rsid w:val="001B0BF4"/>
    <w:rsid w:val="001B1801"/>
    <w:rsid w:val="001B3873"/>
    <w:rsid w:val="001B3C2E"/>
    <w:rsid w:val="001B4785"/>
    <w:rsid w:val="001B536F"/>
    <w:rsid w:val="001B5C52"/>
    <w:rsid w:val="001C0D08"/>
    <w:rsid w:val="001C1CD7"/>
    <w:rsid w:val="001C1FF1"/>
    <w:rsid w:val="001C2FB8"/>
    <w:rsid w:val="001C519C"/>
    <w:rsid w:val="001C56E5"/>
    <w:rsid w:val="001C71FD"/>
    <w:rsid w:val="001D0489"/>
    <w:rsid w:val="001D4556"/>
    <w:rsid w:val="001D45B0"/>
    <w:rsid w:val="001E0214"/>
    <w:rsid w:val="001E3225"/>
    <w:rsid w:val="001E4000"/>
    <w:rsid w:val="001E6F0F"/>
    <w:rsid w:val="001F1D2C"/>
    <w:rsid w:val="001F2690"/>
    <w:rsid w:val="001F4D77"/>
    <w:rsid w:val="002005E9"/>
    <w:rsid w:val="002009F9"/>
    <w:rsid w:val="00203332"/>
    <w:rsid w:val="002034D0"/>
    <w:rsid w:val="002048FE"/>
    <w:rsid w:val="00211991"/>
    <w:rsid w:val="00211F76"/>
    <w:rsid w:val="0021546E"/>
    <w:rsid w:val="00220081"/>
    <w:rsid w:val="00222850"/>
    <w:rsid w:val="00223C87"/>
    <w:rsid w:val="0022772C"/>
    <w:rsid w:val="002307A4"/>
    <w:rsid w:val="00230E70"/>
    <w:rsid w:val="00234867"/>
    <w:rsid w:val="002352C5"/>
    <w:rsid w:val="00240B0B"/>
    <w:rsid w:val="00240DE6"/>
    <w:rsid w:val="00241038"/>
    <w:rsid w:val="00241E6D"/>
    <w:rsid w:val="002424C0"/>
    <w:rsid w:val="00243814"/>
    <w:rsid w:val="002505DB"/>
    <w:rsid w:val="002507B7"/>
    <w:rsid w:val="00250FB9"/>
    <w:rsid w:val="00253AB8"/>
    <w:rsid w:val="00256B8E"/>
    <w:rsid w:val="002642C9"/>
    <w:rsid w:val="00270D4F"/>
    <w:rsid w:val="00272233"/>
    <w:rsid w:val="00276283"/>
    <w:rsid w:val="002767E8"/>
    <w:rsid w:val="00280EEF"/>
    <w:rsid w:val="0028143E"/>
    <w:rsid w:val="002836B2"/>
    <w:rsid w:val="00283BB0"/>
    <w:rsid w:val="00283F39"/>
    <w:rsid w:val="00284593"/>
    <w:rsid w:val="00286AC8"/>
    <w:rsid w:val="00287DB5"/>
    <w:rsid w:val="00291ECD"/>
    <w:rsid w:val="00292B43"/>
    <w:rsid w:val="002944F1"/>
    <w:rsid w:val="002950EA"/>
    <w:rsid w:val="002957F3"/>
    <w:rsid w:val="002A0AD8"/>
    <w:rsid w:val="002A0D62"/>
    <w:rsid w:val="002A21B7"/>
    <w:rsid w:val="002B2F8D"/>
    <w:rsid w:val="002B49DE"/>
    <w:rsid w:val="002B5CAA"/>
    <w:rsid w:val="002B60D8"/>
    <w:rsid w:val="002B621A"/>
    <w:rsid w:val="002C2113"/>
    <w:rsid w:val="002C2701"/>
    <w:rsid w:val="002C6618"/>
    <w:rsid w:val="002D1752"/>
    <w:rsid w:val="002D28CD"/>
    <w:rsid w:val="002D415D"/>
    <w:rsid w:val="002D4406"/>
    <w:rsid w:val="002D5D73"/>
    <w:rsid w:val="002E3A6D"/>
    <w:rsid w:val="002E3E57"/>
    <w:rsid w:val="002E6DFE"/>
    <w:rsid w:val="002E6F10"/>
    <w:rsid w:val="002E76C6"/>
    <w:rsid w:val="002F10F4"/>
    <w:rsid w:val="002F3179"/>
    <w:rsid w:val="002F389F"/>
    <w:rsid w:val="002F3E46"/>
    <w:rsid w:val="002F4CF5"/>
    <w:rsid w:val="002F6661"/>
    <w:rsid w:val="00300906"/>
    <w:rsid w:val="00300F91"/>
    <w:rsid w:val="00302C03"/>
    <w:rsid w:val="00303655"/>
    <w:rsid w:val="0030502C"/>
    <w:rsid w:val="0030509A"/>
    <w:rsid w:val="003108F4"/>
    <w:rsid w:val="0031175B"/>
    <w:rsid w:val="00311F78"/>
    <w:rsid w:val="0031210A"/>
    <w:rsid w:val="00314885"/>
    <w:rsid w:val="00315F2F"/>
    <w:rsid w:val="003170BD"/>
    <w:rsid w:val="00320CB7"/>
    <w:rsid w:val="00320F53"/>
    <w:rsid w:val="00325954"/>
    <w:rsid w:val="00335827"/>
    <w:rsid w:val="0034335F"/>
    <w:rsid w:val="00343EB2"/>
    <w:rsid w:val="00346B13"/>
    <w:rsid w:val="00353AFD"/>
    <w:rsid w:val="00355756"/>
    <w:rsid w:val="0035591A"/>
    <w:rsid w:val="00356140"/>
    <w:rsid w:val="00357BFB"/>
    <w:rsid w:val="00365107"/>
    <w:rsid w:val="00366E0C"/>
    <w:rsid w:val="003707CD"/>
    <w:rsid w:val="00373B1B"/>
    <w:rsid w:val="003743B7"/>
    <w:rsid w:val="00374F6B"/>
    <w:rsid w:val="00375064"/>
    <w:rsid w:val="00381F90"/>
    <w:rsid w:val="0038605E"/>
    <w:rsid w:val="00386DD1"/>
    <w:rsid w:val="00387B3E"/>
    <w:rsid w:val="00391A5C"/>
    <w:rsid w:val="00394266"/>
    <w:rsid w:val="0039679F"/>
    <w:rsid w:val="00397DA7"/>
    <w:rsid w:val="003A0935"/>
    <w:rsid w:val="003A263D"/>
    <w:rsid w:val="003A3BC0"/>
    <w:rsid w:val="003A50BA"/>
    <w:rsid w:val="003A6008"/>
    <w:rsid w:val="003B27B5"/>
    <w:rsid w:val="003B325F"/>
    <w:rsid w:val="003B3F0E"/>
    <w:rsid w:val="003B6379"/>
    <w:rsid w:val="003C0C60"/>
    <w:rsid w:val="003C0DD3"/>
    <w:rsid w:val="003C3301"/>
    <w:rsid w:val="003C450D"/>
    <w:rsid w:val="003C615F"/>
    <w:rsid w:val="003C6D22"/>
    <w:rsid w:val="003D0B88"/>
    <w:rsid w:val="003D235A"/>
    <w:rsid w:val="003D5290"/>
    <w:rsid w:val="003D670F"/>
    <w:rsid w:val="003D7B67"/>
    <w:rsid w:val="003D7B91"/>
    <w:rsid w:val="003E10F8"/>
    <w:rsid w:val="003E4607"/>
    <w:rsid w:val="003E5243"/>
    <w:rsid w:val="003F15AB"/>
    <w:rsid w:val="003F2EE6"/>
    <w:rsid w:val="00400248"/>
    <w:rsid w:val="004033FE"/>
    <w:rsid w:val="00404830"/>
    <w:rsid w:val="00405CEC"/>
    <w:rsid w:val="00406C4F"/>
    <w:rsid w:val="0041122B"/>
    <w:rsid w:val="00411C17"/>
    <w:rsid w:val="00413151"/>
    <w:rsid w:val="004132D3"/>
    <w:rsid w:val="004148D5"/>
    <w:rsid w:val="00415010"/>
    <w:rsid w:val="004165F1"/>
    <w:rsid w:val="00417312"/>
    <w:rsid w:val="00417B54"/>
    <w:rsid w:val="004200F8"/>
    <w:rsid w:val="0042169F"/>
    <w:rsid w:val="004249D6"/>
    <w:rsid w:val="00430BA0"/>
    <w:rsid w:val="004314FA"/>
    <w:rsid w:val="00431AB5"/>
    <w:rsid w:val="00432952"/>
    <w:rsid w:val="004350CF"/>
    <w:rsid w:val="00435CF0"/>
    <w:rsid w:val="00442CAA"/>
    <w:rsid w:val="0044408B"/>
    <w:rsid w:val="0044746B"/>
    <w:rsid w:val="004503A1"/>
    <w:rsid w:val="00452638"/>
    <w:rsid w:val="00453D6F"/>
    <w:rsid w:val="00454A09"/>
    <w:rsid w:val="00455496"/>
    <w:rsid w:val="00456C11"/>
    <w:rsid w:val="00456CE2"/>
    <w:rsid w:val="0046272B"/>
    <w:rsid w:val="0046299C"/>
    <w:rsid w:val="004650DF"/>
    <w:rsid w:val="00467B67"/>
    <w:rsid w:val="00470988"/>
    <w:rsid w:val="00471EBF"/>
    <w:rsid w:val="00474639"/>
    <w:rsid w:val="004761FC"/>
    <w:rsid w:val="00480ECC"/>
    <w:rsid w:val="0048166E"/>
    <w:rsid w:val="00481A60"/>
    <w:rsid w:val="0048223E"/>
    <w:rsid w:val="00482A4D"/>
    <w:rsid w:val="004846E4"/>
    <w:rsid w:val="00487B36"/>
    <w:rsid w:val="00495BBC"/>
    <w:rsid w:val="00496540"/>
    <w:rsid w:val="004A3566"/>
    <w:rsid w:val="004A3F4A"/>
    <w:rsid w:val="004A4D87"/>
    <w:rsid w:val="004A513A"/>
    <w:rsid w:val="004A6275"/>
    <w:rsid w:val="004B2501"/>
    <w:rsid w:val="004C08CC"/>
    <w:rsid w:val="004C39F6"/>
    <w:rsid w:val="004C4525"/>
    <w:rsid w:val="004C56AD"/>
    <w:rsid w:val="004C655A"/>
    <w:rsid w:val="004D1785"/>
    <w:rsid w:val="004D1A11"/>
    <w:rsid w:val="004D4752"/>
    <w:rsid w:val="004D5D76"/>
    <w:rsid w:val="004D607A"/>
    <w:rsid w:val="004E20F3"/>
    <w:rsid w:val="004E4C28"/>
    <w:rsid w:val="004F02E7"/>
    <w:rsid w:val="004F2DBB"/>
    <w:rsid w:val="004F4256"/>
    <w:rsid w:val="004F4FBC"/>
    <w:rsid w:val="004F5429"/>
    <w:rsid w:val="004F7269"/>
    <w:rsid w:val="004F7748"/>
    <w:rsid w:val="0050271A"/>
    <w:rsid w:val="00504A85"/>
    <w:rsid w:val="00505F56"/>
    <w:rsid w:val="00507F34"/>
    <w:rsid w:val="005105A9"/>
    <w:rsid w:val="00511A77"/>
    <w:rsid w:val="00511A94"/>
    <w:rsid w:val="00515C97"/>
    <w:rsid w:val="0051619F"/>
    <w:rsid w:val="005213F7"/>
    <w:rsid w:val="00524548"/>
    <w:rsid w:val="00525724"/>
    <w:rsid w:val="00532564"/>
    <w:rsid w:val="00532F81"/>
    <w:rsid w:val="00533620"/>
    <w:rsid w:val="00535A77"/>
    <w:rsid w:val="00540787"/>
    <w:rsid w:val="005422D9"/>
    <w:rsid w:val="00542A2C"/>
    <w:rsid w:val="00544998"/>
    <w:rsid w:val="00550293"/>
    <w:rsid w:val="00552EF9"/>
    <w:rsid w:val="00554D66"/>
    <w:rsid w:val="0055574E"/>
    <w:rsid w:val="0055620A"/>
    <w:rsid w:val="005609F8"/>
    <w:rsid w:val="0056105B"/>
    <w:rsid w:val="0056211A"/>
    <w:rsid w:val="005660DF"/>
    <w:rsid w:val="0056738D"/>
    <w:rsid w:val="0057114C"/>
    <w:rsid w:val="005743D1"/>
    <w:rsid w:val="00577510"/>
    <w:rsid w:val="00577E88"/>
    <w:rsid w:val="00581327"/>
    <w:rsid w:val="00581922"/>
    <w:rsid w:val="005825BE"/>
    <w:rsid w:val="00586537"/>
    <w:rsid w:val="0058702A"/>
    <w:rsid w:val="005905D9"/>
    <w:rsid w:val="00591606"/>
    <w:rsid w:val="005918A3"/>
    <w:rsid w:val="005929C3"/>
    <w:rsid w:val="005947F6"/>
    <w:rsid w:val="005A43BE"/>
    <w:rsid w:val="005A5255"/>
    <w:rsid w:val="005B1FD3"/>
    <w:rsid w:val="005B6ABD"/>
    <w:rsid w:val="005C1B4F"/>
    <w:rsid w:val="005C216A"/>
    <w:rsid w:val="005C2296"/>
    <w:rsid w:val="005C2FEF"/>
    <w:rsid w:val="005C74E1"/>
    <w:rsid w:val="005C7E8E"/>
    <w:rsid w:val="005D10B2"/>
    <w:rsid w:val="005D14F3"/>
    <w:rsid w:val="005E03A6"/>
    <w:rsid w:val="005E133F"/>
    <w:rsid w:val="005E1A98"/>
    <w:rsid w:val="005E3499"/>
    <w:rsid w:val="005F158A"/>
    <w:rsid w:val="005F2199"/>
    <w:rsid w:val="005F389A"/>
    <w:rsid w:val="005F6044"/>
    <w:rsid w:val="00602C8F"/>
    <w:rsid w:val="00606309"/>
    <w:rsid w:val="0061019B"/>
    <w:rsid w:val="006105F2"/>
    <w:rsid w:val="00611DAC"/>
    <w:rsid w:val="0061374C"/>
    <w:rsid w:val="00617D24"/>
    <w:rsid w:val="00621D1B"/>
    <w:rsid w:val="00621EFE"/>
    <w:rsid w:val="006227A3"/>
    <w:rsid w:val="00623200"/>
    <w:rsid w:val="0062340D"/>
    <w:rsid w:val="00625288"/>
    <w:rsid w:val="00625DDA"/>
    <w:rsid w:val="006262EB"/>
    <w:rsid w:val="006273F8"/>
    <w:rsid w:val="0063323C"/>
    <w:rsid w:val="00634DF1"/>
    <w:rsid w:val="00636C84"/>
    <w:rsid w:val="00640F9C"/>
    <w:rsid w:val="00642888"/>
    <w:rsid w:val="00643D73"/>
    <w:rsid w:val="006440D4"/>
    <w:rsid w:val="00650DC3"/>
    <w:rsid w:val="0065117A"/>
    <w:rsid w:val="00651C8C"/>
    <w:rsid w:val="00652C51"/>
    <w:rsid w:val="0065409F"/>
    <w:rsid w:val="00654163"/>
    <w:rsid w:val="00655631"/>
    <w:rsid w:val="0066086D"/>
    <w:rsid w:val="00661D21"/>
    <w:rsid w:val="00667CEC"/>
    <w:rsid w:val="00673841"/>
    <w:rsid w:val="006771CD"/>
    <w:rsid w:val="00677ECE"/>
    <w:rsid w:val="006806C7"/>
    <w:rsid w:val="00681C92"/>
    <w:rsid w:val="006826FC"/>
    <w:rsid w:val="00691433"/>
    <w:rsid w:val="00691CD6"/>
    <w:rsid w:val="00694E4E"/>
    <w:rsid w:val="0069695F"/>
    <w:rsid w:val="0069737F"/>
    <w:rsid w:val="006A2282"/>
    <w:rsid w:val="006A25D3"/>
    <w:rsid w:val="006A3611"/>
    <w:rsid w:val="006A50E8"/>
    <w:rsid w:val="006A60BA"/>
    <w:rsid w:val="006B6335"/>
    <w:rsid w:val="006B7F3E"/>
    <w:rsid w:val="006C06E1"/>
    <w:rsid w:val="006C0836"/>
    <w:rsid w:val="006C0A33"/>
    <w:rsid w:val="006C2FB8"/>
    <w:rsid w:val="006C444F"/>
    <w:rsid w:val="006C5F99"/>
    <w:rsid w:val="006C607F"/>
    <w:rsid w:val="006D130D"/>
    <w:rsid w:val="006D13D4"/>
    <w:rsid w:val="006D47FE"/>
    <w:rsid w:val="006E0433"/>
    <w:rsid w:val="006E1339"/>
    <w:rsid w:val="006E26B6"/>
    <w:rsid w:val="006E3349"/>
    <w:rsid w:val="006E5BA2"/>
    <w:rsid w:val="006E7FC6"/>
    <w:rsid w:val="006F14C8"/>
    <w:rsid w:val="006F234F"/>
    <w:rsid w:val="006F2E9F"/>
    <w:rsid w:val="006F6001"/>
    <w:rsid w:val="006F7797"/>
    <w:rsid w:val="007004D7"/>
    <w:rsid w:val="007028CF"/>
    <w:rsid w:val="00703DC6"/>
    <w:rsid w:val="007052A4"/>
    <w:rsid w:val="00705F99"/>
    <w:rsid w:val="0071039E"/>
    <w:rsid w:val="00712558"/>
    <w:rsid w:val="00715F0B"/>
    <w:rsid w:val="007177D1"/>
    <w:rsid w:val="00721750"/>
    <w:rsid w:val="00721DAE"/>
    <w:rsid w:val="00721DD1"/>
    <w:rsid w:val="00722ABF"/>
    <w:rsid w:val="007231B2"/>
    <w:rsid w:val="00726E54"/>
    <w:rsid w:val="0073147D"/>
    <w:rsid w:val="0073425C"/>
    <w:rsid w:val="00736B10"/>
    <w:rsid w:val="00736C9D"/>
    <w:rsid w:val="007405C9"/>
    <w:rsid w:val="007461DA"/>
    <w:rsid w:val="007474AD"/>
    <w:rsid w:val="00747849"/>
    <w:rsid w:val="00750975"/>
    <w:rsid w:val="0075499E"/>
    <w:rsid w:val="00757B3C"/>
    <w:rsid w:val="00757D7A"/>
    <w:rsid w:val="00760514"/>
    <w:rsid w:val="0078110B"/>
    <w:rsid w:val="0078231D"/>
    <w:rsid w:val="007835CA"/>
    <w:rsid w:val="00783810"/>
    <w:rsid w:val="00790017"/>
    <w:rsid w:val="00791182"/>
    <w:rsid w:val="007912C6"/>
    <w:rsid w:val="00792EEC"/>
    <w:rsid w:val="0079307C"/>
    <w:rsid w:val="00795BC9"/>
    <w:rsid w:val="00795C68"/>
    <w:rsid w:val="007A0262"/>
    <w:rsid w:val="007A12C4"/>
    <w:rsid w:val="007A15FA"/>
    <w:rsid w:val="007A2041"/>
    <w:rsid w:val="007A355D"/>
    <w:rsid w:val="007A3626"/>
    <w:rsid w:val="007A3628"/>
    <w:rsid w:val="007A4267"/>
    <w:rsid w:val="007A58A7"/>
    <w:rsid w:val="007A5E37"/>
    <w:rsid w:val="007B275C"/>
    <w:rsid w:val="007B2C31"/>
    <w:rsid w:val="007B7680"/>
    <w:rsid w:val="007C1E74"/>
    <w:rsid w:val="007C4579"/>
    <w:rsid w:val="007C71A9"/>
    <w:rsid w:val="007C75B7"/>
    <w:rsid w:val="007D0656"/>
    <w:rsid w:val="007D16CF"/>
    <w:rsid w:val="007D62B8"/>
    <w:rsid w:val="007D79D9"/>
    <w:rsid w:val="007D7AD5"/>
    <w:rsid w:val="007E1A3D"/>
    <w:rsid w:val="007E4598"/>
    <w:rsid w:val="007E699D"/>
    <w:rsid w:val="007F0315"/>
    <w:rsid w:val="007F1202"/>
    <w:rsid w:val="007F7F4A"/>
    <w:rsid w:val="00805029"/>
    <w:rsid w:val="00806352"/>
    <w:rsid w:val="008068CD"/>
    <w:rsid w:val="0081021C"/>
    <w:rsid w:val="00813E98"/>
    <w:rsid w:val="008177EE"/>
    <w:rsid w:val="008207F3"/>
    <w:rsid w:val="0082105A"/>
    <w:rsid w:val="00822CD3"/>
    <w:rsid w:val="00825998"/>
    <w:rsid w:val="0082685C"/>
    <w:rsid w:val="00830B3F"/>
    <w:rsid w:val="00833AC0"/>
    <w:rsid w:val="008341E7"/>
    <w:rsid w:val="00837565"/>
    <w:rsid w:val="008404C6"/>
    <w:rsid w:val="00841C01"/>
    <w:rsid w:val="00842982"/>
    <w:rsid w:val="00845A21"/>
    <w:rsid w:val="00846820"/>
    <w:rsid w:val="00852A3E"/>
    <w:rsid w:val="00853B98"/>
    <w:rsid w:val="00855166"/>
    <w:rsid w:val="0085622E"/>
    <w:rsid w:val="008634C6"/>
    <w:rsid w:val="00863DB3"/>
    <w:rsid w:val="00871533"/>
    <w:rsid w:val="00874959"/>
    <w:rsid w:val="00874C7F"/>
    <w:rsid w:val="00875434"/>
    <w:rsid w:val="0087606E"/>
    <w:rsid w:val="00876BEC"/>
    <w:rsid w:val="00880080"/>
    <w:rsid w:val="008819B7"/>
    <w:rsid w:val="008852DB"/>
    <w:rsid w:val="0088683F"/>
    <w:rsid w:val="0089342F"/>
    <w:rsid w:val="008A25D0"/>
    <w:rsid w:val="008A3076"/>
    <w:rsid w:val="008A3306"/>
    <w:rsid w:val="008A3791"/>
    <w:rsid w:val="008A3C7B"/>
    <w:rsid w:val="008A7390"/>
    <w:rsid w:val="008A797C"/>
    <w:rsid w:val="008A7B60"/>
    <w:rsid w:val="008B2718"/>
    <w:rsid w:val="008B3827"/>
    <w:rsid w:val="008B5C9A"/>
    <w:rsid w:val="008B65D3"/>
    <w:rsid w:val="008B6979"/>
    <w:rsid w:val="008C2F34"/>
    <w:rsid w:val="008C38C8"/>
    <w:rsid w:val="008C4B4A"/>
    <w:rsid w:val="008D12F0"/>
    <w:rsid w:val="008D1EAF"/>
    <w:rsid w:val="008D4637"/>
    <w:rsid w:val="008D5493"/>
    <w:rsid w:val="008D6BBD"/>
    <w:rsid w:val="008E6263"/>
    <w:rsid w:val="008E6719"/>
    <w:rsid w:val="008F0683"/>
    <w:rsid w:val="008F3D8C"/>
    <w:rsid w:val="008F3DBE"/>
    <w:rsid w:val="008F4A2D"/>
    <w:rsid w:val="008F4FBE"/>
    <w:rsid w:val="008F6172"/>
    <w:rsid w:val="008F6BDD"/>
    <w:rsid w:val="009002B0"/>
    <w:rsid w:val="00901733"/>
    <w:rsid w:val="0090337F"/>
    <w:rsid w:val="00904B13"/>
    <w:rsid w:val="00907B5B"/>
    <w:rsid w:val="00913CB5"/>
    <w:rsid w:val="00915938"/>
    <w:rsid w:val="00916F33"/>
    <w:rsid w:val="009203E1"/>
    <w:rsid w:val="00923497"/>
    <w:rsid w:val="009314CC"/>
    <w:rsid w:val="00931AC1"/>
    <w:rsid w:val="00936281"/>
    <w:rsid w:val="00937EDB"/>
    <w:rsid w:val="0094094E"/>
    <w:rsid w:val="00940CF5"/>
    <w:rsid w:val="00940D99"/>
    <w:rsid w:val="009412C8"/>
    <w:rsid w:val="00941FA8"/>
    <w:rsid w:val="00942915"/>
    <w:rsid w:val="0094332F"/>
    <w:rsid w:val="009439CB"/>
    <w:rsid w:val="00944FA3"/>
    <w:rsid w:val="00946E7C"/>
    <w:rsid w:val="00951044"/>
    <w:rsid w:val="009543C9"/>
    <w:rsid w:val="00954F89"/>
    <w:rsid w:val="00960EFE"/>
    <w:rsid w:val="009617F5"/>
    <w:rsid w:val="009629FE"/>
    <w:rsid w:val="00964393"/>
    <w:rsid w:val="00964901"/>
    <w:rsid w:val="00965EC4"/>
    <w:rsid w:val="00967AD5"/>
    <w:rsid w:val="00970D1F"/>
    <w:rsid w:val="009726BF"/>
    <w:rsid w:val="00972C4E"/>
    <w:rsid w:val="00973CB9"/>
    <w:rsid w:val="00974464"/>
    <w:rsid w:val="0097553C"/>
    <w:rsid w:val="009771C6"/>
    <w:rsid w:val="0098607F"/>
    <w:rsid w:val="00987DD9"/>
    <w:rsid w:val="0099285A"/>
    <w:rsid w:val="009958B1"/>
    <w:rsid w:val="00996471"/>
    <w:rsid w:val="009A0AA6"/>
    <w:rsid w:val="009A1AA0"/>
    <w:rsid w:val="009A2094"/>
    <w:rsid w:val="009A2F59"/>
    <w:rsid w:val="009A3EE5"/>
    <w:rsid w:val="009B02F0"/>
    <w:rsid w:val="009B0650"/>
    <w:rsid w:val="009B1282"/>
    <w:rsid w:val="009B3903"/>
    <w:rsid w:val="009B4B73"/>
    <w:rsid w:val="009B4D94"/>
    <w:rsid w:val="009B5EE4"/>
    <w:rsid w:val="009B64DA"/>
    <w:rsid w:val="009B6F21"/>
    <w:rsid w:val="009C162A"/>
    <w:rsid w:val="009D0EEA"/>
    <w:rsid w:val="009D2546"/>
    <w:rsid w:val="009D329C"/>
    <w:rsid w:val="009D3A25"/>
    <w:rsid w:val="009D3BAB"/>
    <w:rsid w:val="009D40C1"/>
    <w:rsid w:val="009D4B75"/>
    <w:rsid w:val="009D54CA"/>
    <w:rsid w:val="009D7A6B"/>
    <w:rsid w:val="009E3113"/>
    <w:rsid w:val="009E3165"/>
    <w:rsid w:val="009E3AAA"/>
    <w:rsid w:val="009E729A"/>
    <w:rsid w:val="009F23CF"/>
    <w:rsid w:val="009F4AB7"/>
    <w:rsid w:val="009F4E28"/>
    <w:rsid w:val="00A002D7"/>
    <w:rsid w:val="00A04F3E"/>
    <w:rsid w:val="00A06AAA"/>
    <w:rsid w:val="00A07487"/>
    <w:rsid w:val="00A11B6C"/>
    <w:rsid w:val="00A126D4"/>
    <w:rsid w:val="00A12797"/>
    <w:rsid w:val="00A13C80"/>
    <w:rsid w:val="00A1608A"/>
    <w:rsid w:val="00A17E81"/>
    <w:rsid w:val="00A255E8"/>
    <w:rsid w:val="00A35F6A"/>
    <w:rsid w:val="00A37DAE"/>
    <w:rsid w:val="00A405AC"/>
    <w:rsid w:val="00A44F1F"/>
    <w:rsid w:val="00A45B35"/>
    <w:rsid w:val="00A50FFE"/>
    <w:rsid w:val="00A52B99"/>
    <w:rsid w:val="00A53BDE"/>
    <w:rsid w:val="00A54172"/>
    <w:rsid w:val="00A5478F"/>
    <w:rsid w:val="00A55DA4"/>
    <w:rsid w:val="00A607AA"/>
    <w:rsid w:val="00A618AB"/>
    <w:rsid w:val="00A6366C"/>
    <w:rsid w:val="00A66460"/>
    <w:rsid w:val="00A7337B"/>
    <w:rsid w:val="00A73993"/>
    <w:rsid w:val="00A74A4B"/>
    <w:rsid w:val="00A76C00"/>
    <w:rsid w:val="00A76CE7"/>
    <w:rsid w:val="00A80B26"/>
    <w:rsid w:val="00A817EE"/>
    <w:rsid w:val="00A82CE5"/>
    <w:rsid w:val="00A84ED9"/>
    <w:rsid w:val="00A86006"/>
    <w:rsid w:val="00A872B2"/>
    <w:rsid w:val="00A87C54"/>
    <w:rsid w:val="00A91D46"/>
    <w:rsid w:val="00A92338"/>
    <w:rsid w:val="00A9256A"/>
    <w:rsid w:val="00A94F19"/>
    <w:rsid w:val="00A96146"/>
    <w:rsid w:val="00AA0703"/>
    <w:rsid w:val="00AA4301"/>
    <w:rsid w:val="00AA4748"/>
    <w:rsid w:val="00AA78DD"/>
    <w:rsid w:val="00AB2BE1"/>
    <w:rsid w:val="00AB2EE1"/>
    <w:rsid w:val="00AB4EB1"/>
    <w:rsid w:val="00AB5B68"/>
    <w:rsid w:val="00AB6AB5"/>
    <w:rsid w:val="00AB797C"/>
    <w:rsid w:val="00AC3354"/>
    <w:rsid w:val="00AD1FB8"/>
    <w:rsid w:val="00AD2C4A"/>
    <w:rsid w:val="00AD64E5"/>
    <w:rsid w:val="00AD6F5F"/>
    <w:rsid w:val="00AE1B85"/>
    <w:rsid w:val="00AE4A4A"/>
    <w:rsid w:val="00AF3D62"/>
    <w:rsid w:val="00AF66EF"/>
    <w:rsid w:val="00AF7B7F"/>
    <w:rsid w:val="00B009E9"/>
    <w:rsid w:val="00B050EC"/>
    <w:rsid w:val="00B0527F"/>
    <w:rsid w:val="00B06754"/>
    <w:rsid w:val="00B10FBE"/>
    <w:rsid w:val="00B11FFF"/>
    <w:rsid w:val="00B13D5E"/>
    <w:rsid w:val="00B146D1"/>
    <w:rsid w:val="00B15CA0"/>
    <w:rsid w:val="00B1712C"/>
    <w:rsid w:val="00B1780F"/>
    <w:rsid w:val="00B21133"/>
    <w:rsid w:val="00B30633"/>
    <w:rsid w:val="00B3229F"/>
    <w:rsid w:val="00B334B7"/>
    <w:rsid w:val="00B3666D"/>
    <w:rsid w:val="00B4094A"/>
    <w:rsid w:val="00B40C11"/>
    <w:rsid w:val="00B432A2"/>
    <w:rsid w:val="00B44304"/>
    <w:rsid w:val="00B450B6"/>
    <w:rsid w:val="00B457FD"/>
    <w:rsid w:val="00B47843"/>
    <w:rsid w:val="00B51D24"/>
    <w:rsid w:val="00B542BB"/>
    <w:rsid w:val="00B562D1"/>
    <w:rsid w:val="00B5705A"/>
    <w:rsid w:val="00B57935"/>
    <w:rsid w:val="00B627C2"/>
    <w:rsid w:val="00B630A1"/>
    <w:rsid w:val="00B67A6A"/>
    <w:rsid w:val="00B67B3B"/>
    <w:rsid w:val="00B72117"/>
    <w:rsid w:val="00B72299"/>
    <w:rsid w:val="00B72B60"/>
    <w:rsid w:val="00B7494A"/>
    <w:rsid w:val="00B74DA7"/>
    <w:rsid w:val="00B762FF"/>
    <w:rsid w:val="00B80C08"/>
    <w:rsid w:val="00B82765"/>
    <w:rsid w:val="00B839EE"/>
    <w:rsid w:val="00B83C69"/>
    <w:rsid w:val="00B83E24"/>
    <w:rsid w:val="00B85B6D"/>
    <w:rsid w:val="00B86723"/>
    <w:rsid w:val="00B87298"/>
    <w:rsid w:val="00B91D10"/>
    <w:rsid w:val="00B937D2"/>
    <w:rsid w:val="00B96ECB"/>
    <w:rsid w:val="00B971CB"/>
    <w:rsid w:val="00B974CB"/>
    <w:rsid w:val="00BA0A61"/>
    <w:rsid w:val="00BA2F09"/>
    <w:rsid w:val="00BB037E"/>
    <w:rsid w:val="00BB0836"/>
    <w:rsid w:val="00BB17E7"/>
    <w:rsid w:val="00BB1DEF"/>
    <w:rsid w:val="00BB2F0D"/>
    <w:rsid w:val="00BB4A71"/>
    <w:rsid w:val="00BB67EA"/>
    <w:rsid w:val="00BB7B2F"/>
    <w:rsid w:val="00BC0A41"/>
    <w:rsid w:val="00BC2A5A"/>
    <w:rsid w:val="00BC4B01"/>
    <w:rsid w:val="00BD368A"/>
    <w:rsid w:val="00BD557D"/>
    <w:rsid w:val="00BE1DA4"/>
    <w:rsid w:val="00BE2F52"/>
    <w:rsid w:val="00BE461E"/>
    <w:rsid w:val="00BE4A72"/>
    <w:rsid w:val="00BE640D"/>
    <w:rsid w:val="00BE64AE"/>
    <w:rsid w:val="00BE7A61"/>
    <w:rsid w:val="00BF17C0"/>
    <w:rsid w:val="00BF2176"/>
    <w:rsid w:val="00BF2992"/>
    <w:rsid w:val="00BF6D5C"/>
    <w:rsid w:val="00C0072F"/>
    <w:rsid w:val="00C01D6C"/>
    <w:rsid w:val="00C05956"/>
    <w:rsid w:val="00C059F9"/>
    <w:rsid w:val="00C103EE"/>
    <w:rsid w:val="00C1420F"/>
    <w:rsid w:val="00C172E1"/>
    <w:rsid w:val="00C200ED"/>
    <w:rsid w:val="00C206DA"/>
    <w:rsid w:val="00C2288B"/>
    <w:rsid w:val="00C254A9"/>
    <w:rsid w:val="00C2620A"/>
    <w:rsid w:val="00C2630B"/>
    <w:rsid w:val="00C26B19"/>
    <w:rsid w:val="00C310BC"/>
    <w:rsid w:val="00C31228"/>
    <w:rsid w:val="00C42736"/>
    <w:rsid w:val="00C43618"/>
    <w:rsid w:val="00C4368C"/>
    <w:rsid w:val="00C466BB"/>
    <w:rsid w:val="00C506FD"/>
    <w:rsid w:val="00C530FB"/>
    <w:rsid w:val="00C53CF9"/>
    <w:rsid w:val="00C545EA"/>
    <w:rsid w:val="00C54EF0"/>
    <w:rsid w:val="00C55C97"/>
    <w:rsid w:val="00C570E1"/>
    <w:rsid w:val="00C6450C"/>
    <w:rsid w:val="00C64CE4"/>
    <w:rsid w:val="00C66719"/>
    <w:rsid w:val="00C705AE"/>
    <w:rsid w:val="00C7097C"/>
    <w:rsid w:val="00C720E5"/>
    <w:rsid w:val="00C74645"/>
    <w:rsid w:val="00C74BA4"/>
    <w:rsid w:val="00C7737D"/>
    <w:rsid w:val="00C8348D"/>
    <w:rsid w:val="00C83785"/>
    <w:rsid w:val="00C843A8"/>
    <w:rsid w:val="00C84A3C"/>
    <w:rsid w:val="00C8555A"/>
    <w:rsid w:val="00C8690B"/>
    <w:rsid w:val="00C90432"/>
    <w:rsid w:val="00C9154E"/>
    <w:rsid w:val="00C9210D"/>
    <w:rsid w:val="00C94539"/>
    <w:rsid w:val="00C9458E"/>
    <w:rsid w:val="00C97DE1"/>
    <w:rsid w:val="00CA114C"/>
    <w:rsid w:val="00CA1524"/>
    <w:rsid w:val="00CA54C6"/>
    <w:rsid w:val="00CA5B6A"/>
    <w:rsid w:val="00CA6866"/>
    <w:rsid w:val="00CB03FF"/>
    <w:rsid w:val="00CB0F15"/>
    <w:rsid w:val="00CB33B0"/>
    <w:rsid w:val="00CB594D"/>
    <w:rsid w:val="00CB6A05"/>
    <w:rsid w:val="00CC097C"/>
    <w:rsid w:val="00CC2B8A"/>
    <w:rsid w:val="00CC3E52"/>
    <w:rsid w:val="00CC5015"/>
    <w:rsid w:val="00CC5C3C"/>
    <w:rsid w:val="00CD16B0"/>
    <w:rsid w:val="00CD3017"/>
    <w:rsid w:val="00CD3539"/>
    <w:rsid w:val="00CD47CB"/>
    <w:rsid w:val="00CE0CA6"/>
    <w:rsid w:val="00CE1332"/>
    <w:rsid w:val="00CE29BA"/>
    <w:rsid w:val="00CE3689"/>
    <w:rsid w:val="00CF09B9"/>
    <w:rsid w:val="00CF102E"/>
    <w:rsid w:val="00CF205F"/>
    <w:rsid w:val="00CF25F9"/>
    <w:rsid w:val="00CF7366"/>
    <w:rsid w:val="00D000E5"/>
    <w:rsid w:val="00D04B20"/>
    <w:rsid w:val="00D05127"/>
    <w:rsid w:val="00D06AD2"/>
    <w:rsid w:val="00D1485D"/>
    <w:rsid w:val="00D171F1"/>
    <w:rsid w:val="00D20ECC"/>
    <w:rsid w:val="00D25E77"/>
    <w:rsid w:val="00D27B2A"/>
    <w:rsid w:val="00D27F01"/>
    <w:rsid w:val="00D323BB"/>
    <w:rsid w:val="00D32FB5"/>
    <w:rsid w:val="00D34842"/>
    <w:rsid w:val="00D350C4"/>
    <w:rsid w:val="00D35AC2"/>
    <w:rsid w:val="00D4076C"/>
    <w:rsid w:val="00D415B9"/>
    <w:rsid w:val="00D42F0E"/>
    <w:rsid w:val="00D434D2"/>
    <w:rsid w:val="00D4393B"/>
    <w:rsid w:val="00D44BD8"/>
    <w:rsid w:val="00D4506D"/>
    <w:rsid w:val="00D45511"/>
    <w:rsid w:val="00D455C5"/>
    <w:rsid w:val="00D47361"/>
    <w:rsid w:val="00D523DB"/>
    <w:rsid w:val="00D52437"/>
    <w:rsid w:val="00D55FE7"/>
    <w:rsid w:val="00D56D8B"/>
    <w:rsid w:val="00D60804"/>
    <w:rsid w:val="00D60DF0"/>
    <w:rsid w:val="00D61466"/>
    <w:rsid w:val="00D63A3C"/>
    <w:rsid w:val="00D63E11"/>
    <w:rsid w:val="00D63EBB"/>
    <w:rsid w:val="00D66E9A"/>
    <w:rsid w:val="00D71C99"/>
    <w:rsid w:val="00D72012"/>
    <w:rsid w:val="00D73B5A"/>
    <w:rsid w:val="00D76489"/>
    <w:rsid w:val="00D76887"/>
    <w:rsid w:val="00D807D4"/>
    <w:rsid w:val="00D84FF9"/>
    <w:rsid w:val="00D85759"/>
    <w:rsid w:val="00D871B6"/>
    <w:rsid w:val="00D94270"/>
    <w:rsid w:val="00DA4065"/>
    <w:rsid w:val="00DA64ED"/>
    <w:rsid w:val="00DB0811"/>
    <w:rsid w:val="00DB1091"/>
    <w:rsid w:val="00DB144C"/>
    <w:rsid w:val="00DB1477"/>
    <w:rsid w:val="00DB464A"/>
    <w:rsid w:val="00DB58AE"/>
    <w:rsid w:val="00DB78C7"/>
    <w:rsid w:val="00DC0435"/>
    <w:rsid w:val="00DC1730"/>
    <w:rsid w:val="00DC5708"/>
    <w:rsid w:val="00DD3C84"/>
    <w:rsid w:val="00DE09D5"/>
    <w:rsid w:val="00DE12BE"/>
    <w:rsid w:val="00DE1F4E"/>
    <w:rsid w:val="00DE20F9"/>
    <w:rsid w:val="00DE23BC"/>
    <w:rsid w:val="00DE3E84"/>
    <w:rsid w:val="00DE40E5"/>
    <w:rsid w:val="00DE476A"/>
    <w:rsid w:val="00DF43AD"/>
    <w:rsid w:val="00DF4B63"/>
    <w:rsid w:val="00DF6081"/>
    <w:rsid w:val="00DF687E"/>
    <w:rsid w:val="00DF6951"/>
    <w:rsid w:val="00DF6DF9"/>
    <w:rsid w:val="00E02107"/>
    <w:rsid w:val="00E0413B"/>
    <w:rsid w:val="00E107BB"/>
    <w:rsid w:val="00E1282C"/>
    <w:rsid w:val="00E12964"/>
    <w:rsid w:val="00E13A1B"/>
    <w:rsid w:val="00E1526B"/>
    <w:rsid w:val="00E15AF4"/>
    <w:rsid w:val="00E16AF1"/>
    <w:rsid w:val="00E17F16"/>
    <w:rsid w:val="00E20A6C"/>
    <w:rsid w:val="00E2144F"/>
    <w:rsid w:val="00E23322"/>
    <w:rsid w:val="00E2446E"/>
    <w:rsid w:val="00E25AFF"/>
    <w:rsid w:val="00E2739A"/>
    <w:rsid w:val="00E279CE"/>
    <w:rsid w:val="00E30CBD"/>
    <w:rsid w:val="00E36B08"/>
    <w:rsid w:val="00E3720E"/>
    <w:rsid w:val="00E37FAB"/>
    <w:rsid w:val="00E41B28"/>
    <w:rsid w:val="00E438EC"/>
    <w:rsid w:val="00E53644"/>
    <w:rsid w:val="00E60E5F"/>
    <w:rsid w:val="00E63DB1"/>
    <w:rsid w:val="00E66F0E"/>
    <w:rsid w:val="00E671CB"/>
    <w:rsid w:val="00E71D25"/>
    <w:rsid w:val="00E72955"/>
    <w:rsid w:val="00E72C06"/>
    <w:rsid w:val="00E73F8D"/>
    <w:rsid w:val="00E74261"/>
    <w:rsid w:val="00E748B2"/>
    <w:rsid w:val="00E74BB2"/>
    <w:rsid w:val="00E77A96"/>
    <w:rsid w:val="00E77CAE"/>
    <w:rsid w:val="00E835BF"/>
    <w:rsid w:val="00E8413D"/>
    <w:rsid w:val="00E8543A"/>
    <w:rsid w:val="00E871BA"/>
    <w:rsid w:val="00E87E1F"/>
    <w:rsid w:val="00E90C1F"/>
    <w:rsid w:val="00E94ED2"/>
    <w:rsid w:val="00E97B54"/>
    <w:rsid w:val="00EA07FD"/>
    <w:rsid w:val="00EA087B"/>
    <w:rsid w:val="00EA30D3"/>
    <w:rsid w:val="00EB0751"/>
    <w:rsid w:val="00EB44CB"/>
    <w:rsid w:val="00EB56EF"/>
    <w:rsid w:val="00EB6B18"/>
    <w:rsid w:val="00EC088C"/>
    <w:rsid w:val="00EC1405"/>
    <w:rsid w:val="00EC3B88"/>
    <w:rsid w:val="00EC44CC"/>
    <w:rsid w:val="00EC4EA1"/>
    <w:rsid w:val="00EC6177"/>
    <w:rsid w:val="00ED0801"/>
    <w:rsid w:val="00ED10F8"/>
    <w:rsid w:val="00ED295D"/>
    <w:rsid w:val="00ED2FFF"/>
    <w:rsid w:val="00ED37A4"/>
    <w:rsid w:val="00ED5E42"/>
    <w:rsid w:val="00ED7331"/>
    <w:rsid w:val="00EE361C"/>
    <w:rsid w:val="00EE5DE9"/>
    <w:rsid w:val="00EE5EBB"/>
    <w:rsid w:val="00EF0105"/>
    <w:rsid w:val="00EF12A7"/>
    <w:rsid w:val="00EF29FD"/>
    <w:rsid w:val="00EF2D65"/>
    <w:rsid w:val="00EF30A2"/>
    <w:rsid w:val="00EF4E12"/>
    <w:rsid w:val="00EF57EB"/>
    <w:rsid w:val="00EF704D"/>
    <w:rsid w:val="00EF7588"/>
    <w:rsid w:val="00EF79BB"/>
    <w:rsid w:val="00F026D7"/>
    <w:rsid w:val="00F03208"/>
    <w:rsid w:val="00F0612C"/>
    <w:rsid w:val="00F070F3"/>
    <w:rsid w:val="00F0757D"/>
    <w:rsid w:val="00F10AA2"/>
    <w:rsid w:val="00F11897"/>
    <w:rsid w:val="00F11AA9"/>
    <w:rsid w:val="00F149F8"/>
    <w:rsid w:val="00F14A3C"/>
    <w:rsid w:val="00F14E94"/>
    <w:rsid w:val="00F150C8"/>
    <w:rsid w:val="00F20F2C"/>
    <w:rsid w:val="00F21358"/>
    <w:rsid w:val="00F21DCC"/>
    <w:rsid w:val="00F2451B"/>
    <w:rsid w:val="00F25266"/>
    <w:rsid w:val="00F321E4"/>
    <w:rsid w:val="00F32A55"/>
    <w:rsid w:val="00F36BB3"/>
    <w:rsid w:val="00F374F1"/>
    <w:rsid w:val="00F40CE4"/>
    <w:rsid w:val="00F40FBA"/>
    <w:rsid w:val="00F4317B"/>
    <w:rsid w:val="00F449DD"/>
    <w:rsid w:val="00F44B55"/>
    <w:rsid w:val="00F45EC8"/>
    <w:rsid w:val="00F4664A"/>
    <w:rsid w:val="00F5095E"/>
    <w:rsid w:val="00F53DA2"/>
    <w:rsid w:val="00F56ED8"/>
    <w:rsid w:val="00F61F0F"/>
    <w:rsid w:val="00F631D1"/>
    <w:rsid w:val="00F645BA"/>
    <w:rsid w:val="00F65E72"/>
    <w:rsid w:val="00F65F05"/>
    <w:rsid w:val="00F66447"/>
    <w:rsid w:val="00F67F65"/>
    <w:rsid w:val="00F71FEB"/>
    <w:rsid w:val="00F72BDB"/>
    <w:rsid w:val="00F72CB1"/>
    <w:rsid w:val="00F72D0F"/>
    <w:rsid w:val="00F730EF"/>
    <w:rsid w:val="00F73D07"/>
    <w:rsid w:val="00F765D4"/>
    <w:rsid w:val="00F812DD"/>
    <w:rsid w:val="00F81A73"/>
    <w:rsid w:val="00F8511E"/>
    <w:rsid w:val="00F87CAC"/>
    <w:rsid w:val="00F914D8"/>
    <w:rsid w:val="00F91EDD"/>
    <w:rsid w:val="00F922D4"/>
    <w:rsid w:val="00F92F92"/>
    <w:rsid w:val="00F96862"/>
    <w:rsid w:val="00FA2816"/>
    <w:rsid w:val="00FA67E6"/>
    <w:rsid w:val="00FA78B8"/>
    <w:rsid w:val="00FB2BEA"/>
    <w:rsid w:val="00FB44C3"/>
    <w:rsid w:val="00FB5054"/>
    <w:rsid w:val="00FB509F"/>
    <w:rsid w:val="00FB57C0"/>
    <w:rsid w:val="00FC354B"/>
    <w:rsid w:val="00FC4333"/>
    <w:rsid w:val="00FC5C22"/>
    <w:rsid w:val="00FC6618"/>
    <w:rsid w:val="00FC6F6F"/>
    <w:rsid w:val="00FC7076"/>
    <w:rsid w:val="00FD303B"/>
    <w:rsid w:val="00FD51EC"/>
    <w:rsid w:val="00FD7B13"/>
    <w:rsid w:val="00FE1866"/>
    <w:rsid w:val="00FE384C"/>
    <w:rsid w:val="00FE7102"/>
    <w:rsid w:val="00FF0104"/>
    <w:rsid w:val="00FF7000"/>
    <w:rsid w:val="01023C34"/>
    <w:rsid w:val="010527E1"/>
    <w:rsid w:val="01075C6A"/>
    <w:rsid w:val="010F7FF3"/>
    <w:rsid w:val="01117014"/>
    <w:rsid w:val="011345F3"/>
    <w:rsid w:val="01227754"/>
    <w:rsid w:val="0128498B"/>
    <w:rsid w:val="01391C5E"/>
    <w:rsid w:val="013C2821"/>
    <w:rsid w:val="01477D1B"/>
    <w:rsid w:val="01497302"/>
    <w:rsid w:val="014D6163"/>
    <w:rsid w:val="0162444A"/>
    <w:rsid w:val="01672BC9"/>
    <w:rsid w:val="01706F43"/>
    <w:rsid w:val="01714809"/>
    <w:rsid w:val="017D49DF"/>
    <w:rsid w:val="01874792"/>
    <w:rsid w:val="01934B34"/>
    <w:rsid w:val="019C64D1"/>
    <w:rsid w:val="019E154B"/>
    <w:rsid w:val="01A00C4B"/>
    <w:rsid w:val="01A21259"/>
    <w:rsid w:val="01A67BCD"/>
    <w:rsid w:val="01AE7332"/>
    <w:rsid w:val="01AF58E3"/>
    <w:rsid w:val="01B42379"/>
    <w:rsid w:val="01B670E1"/>
    <w:rsid w:val="01C1537A"/>
    <w:rsid w:val="01CE3A30"/>
    <w:rsid w:val="01CE430C"/>
    <w:rsid w:val="01D25560"/>
    <w:rsid w:val="01D579BF"/>
    <w:rsid w:val="01D67239"/>
    <w:rsid w:val="01E54A91"/>
    <w:rsid w:val="01E66F3B"/>
    <w:rsid w:val="01FE1D36"/>
    <w:rsid w:val="020105C9"/>
    <w:rsid w:val="02023A28"/>
    <w:rsid w:val="02191114"/>
    <w:rsid w:val="02197944"/>
    <w:rsid w:val="022155C0"/>
    <w:rsid w:val="02290731"/>
    <w:rsid w:val="022F64CC"/>
    <w:rsid w:val="02360979"/>
    <w:rsid w:val="023A2E4D"/>
    <w:rsid w:val="024102EA"/>
    <w:rsid w:val="024346A8"/>
    <w:rsid w:val="024C0DD3"/>
    <w:rsid w:val="0251512C"/>
    <w:rsid w:val="025267CE"/>
    <w:rsid w:val="02551F4B"/>
    <w:rsid w:val="025A1AAB"/>
    <w:rsid w:val="025B717D"/>
    <w:rsid w:val="025E3B33"/>
    <w:rsid w:val="02753E85"/>
    <w:rsid w:val="02794153"/>
    <w:rsid w:val="027A5717"/>
    <w:rsid w:val="02845CE8"/>
    <w:rsid w:val="02871225"/>
    <w:rsid w:val="02885B13"/>
    <w:rsid w:val="028E523F"/>
    <w:rsid w:val="02920E1F"/>
    <w:rsid w:val="02921CBE"/>
    <w:rsid w:val="029C61AC"/>
    <w:rsid w:val="02AE054C"/>
    <w:rsid w:val="02CA0002"/>
    <w:rsid w:val="02CE3F67"/>
    <w:rsid w:val="02E0774A"/>
    <w:rsid w:val="02E44ECC"/>
    <w:rsid w:val="02E65408"/>
    <w:rsid w:val="02E96410"/>
    <w:rsid w:val="02F079F0"/>
    <w:rsid w:val="02F217A5"/>
    <w:rsid w:val="02F87131"/>
    <w:rsid w:val="02FA2032"/>
    <w:rsid w:val="03057CEE"/>
    <w:rsid w:val="03084CFA"/>
    <w:rsid w:val="031345B6"/>
    <w:rsid w:val="03186D4A"/>
    <w:rsid w:val="03210388"/>
    <w:rsid w:val="03224C85"/>
    <w:rsid w:val="032928CD"/>
    <w:rsid w:val="032A06AD"/>
    <w:rsid w:val="032B3C16"/>
    <w:rsid w:val="032D367F"/>
    <w:rsid w:val="033003FC"/>
    <w:rsid w:val="033C5842"/>
    <w:rsid w:val="034102C5"/>
    <w:rsid w:val="03595738"/>
    <w:rsid w:val="03646322"/>
    <w:rsid w:val="036609BA"/>
    <w:rsid w:val="03691EBF"/>
    <w:rsid w:val="036F3598"/>
    <w:rsid w:val="0374096C"/>
    <w:rsid w:val="0374413D"/>
    <w:rsid w:val="037700A6"/>
    <w:rsid w:val="037D08D8"/>
    <w:rsid w:val="037F7674"/>
    <w:rsid w:val="0384700E"/>
    <w:rsid w:val="03851C29"/>
    <w:rsid w:val="0394658D"/>
    <w:rsid w:val="03963784"/>
    <w:rsid w:val="03981C3E"/>
    <w:rsid w:val="03A04F32"/>
    <w:rsid w:val="03A2182C"/>
    <w:rsid w:val="03A4783F"/>
    <w:rsid w:val="03A6420F"/>
    <w:rsid w:val="03AB558C"/>
    <w:rsid w:val="03B1062D"/>
    <w:rsid w:val="03B26A4A"/>
    <w:rsid w:val="03BA14F6"/>
    <w:rsid w:val="03C57C04"/>
    <w:rsid w:val="03DA48E8"/>
    <w:rsid w:val="03DA6B03"/>
    <w:rsid w:val="03E272F9"/>
    <w:rsid w:val="03EA7478"/>
    <w:rsid w:val="03EB47BE"/>
    <w:rsid w:val="04017A6F"/>
    <w:rsid w:val="04041965"/>
    <w:rsid w:val="04107904"/>
    <w:rsid w:val="041115FD"/>
    <w:rsid w:val="04275634"/>
    <w:rsid w:val="042C3A1B"/>
    <w:rsid w:val="04311062"/>
    <w:rsid w:val="04332663"/>
    <w:rsid w:val="043D09D3"/>
    <w:rsid w:val="043D3538"/>
    <w:rsid w:val="043E08C9"/>
    <w:rsid w:val="044B7594"/>
    <w:rsid w:val="045A5DDF"/>
    <w:rsid w:val="045B638C"/>
    <w:rsid w:val="046210E9"/>
    <w:rsid w:val="046C35D1"/>
    <w:rsid w:val="0471586C"/>
    <w:rsid w:val="048776E7"/>
    <w:rsid w:val="048A0DE4"/>
    <w:rsid w:val="048E7584"/>
    <w:rsid w:val="049031F8"/>
    <w:rsid w:val="04903B0B"/>
    <w:rsid w:val="04960D13"/>
    <w:rsid w:val="04967EAB"/>
    <w:rsid w:val="04983E5B"/>
    <w:rsid w:val="049C19AD"/>
    <w:rsid w:val="04A54CD0"/>
    <w:rsid w:val="04A722F0"/>
    <w:rsid w:val="04AD18CE"/>
    <w:rsid w:val="04AE3D9F"/>
    <w:rsid w:val="04B15782"/>
    <w:rsid w:val="04BA0119"/>
    <w:rsid w:val="04BC3FF3"/>
    <w:rsid w:val="04C814A6"/>
    <w:rsid w:val="04DC7CC3"/>
    <w:rsid w:val="04E31421"/>
    <w:rsid w:val="04E76105"/>
    <w:rsid w:val="04E8539D"/>
    <w:rsid w:val="04E85586"/>
    <w:rsid w:val="04F56CC7"/>
    <w:rsid w:val="04FC37E7"/>
    <w:rsid w:val="050317C6"/>
    <w:rsid w:val="05035BC7"/>
    <w:rsid w:val="051E41A8"/>
    <w:rsid w:val="051F3DA3"/>
    <w:rsid w:val="05252DBA"/>
    <w:rsid w:val="052B4996"/>
    <w:rsid w:val="05342EDC"/>
    <w:rsid w:val="054A15F9"/>
    <w:rsid w:val="055406CA"/>
    <w:rsid w:val="055E50A5"/>
    <w:rsid w:val="05656DD1"/>
    <w:rsid w:val="057037B7"/>
    <w:rsid w:val="05763AD5"/>
    <w:rsid w:val="057A3995"/>
    <w:rsid w:val="057D033C"/>
    <w:rsid w:val="058B7553"/>
    <w:rsid w:val="058D68EB"/>
    <w:rsid w:val="05931207"/>
    <w:rsid w:val="059C1AF5"/>
    <w:rsid w:val="05A01219"/>
    <w:rsid w:val="05AA02EA"/>
    <w:rsid w:val="05B76427"/>
    <w:rsid w:val="05BC4265"/>
    <w:rsid w:val="05C4611F"/>
    <w:rsid w:val="05D6089F"/>
    <w:rsid w:val="05E355AA"/>
    <w:rsid w:val="05E41A4E"/>
    <w:rsid w:val="05ED1B5E"/>
    <w:rsid w:val="05F10458"/>
    <w:rsid w:val="05F1084B"/>
    <w:rsid w:val="05F8699F"/>
    <w:rsid w:val="05F94DCD"/>
    <w:rsid w:val="05FB6D97"/>
    <w:rsid w:val="06010867"/>
    <w:rsid w:val="060252F8"/>
    <w:rsid w:val="06057B74"/>
    <w:rsid w:val="060774EA"/>
    <w:rsid w:val="060A4234"/>
    <w:rsid w:val="060C0ABE"/>
    <w:rsid w:val="060D76B0"/>
    <w:rsid w:val="06112117"/>
    <w:rsid w:val="06131E1C"/>
    <w:rsid w:val="061A0807"/>
    <w:rsid w:val="061F2A86"/>
    <w:rsid w:val="06221774"/>
    <w:rsid w:val="062956B3"/>
    <w:rsid w:val="063737DC"/>
    <w:rsid w:val="063E28E0"/>
    <w:rsid w:val="064000A2"/>
    <w:rsid w:val="0640436C"/>
    <w:rsid w:val="06425721"/>
    <w:rsid w:val="064C13A1"/>
    <w:rsid w:val="06621D8F"/>
    <w:rsid w:val="066476A2"/>
    <w:rsid w:val="06672C52"/>
    <w:rsid w:val="066A3110"/>
    <w:rsid w:val="067B1449"/>
    <w:rsid w:val="068154EF"/>
    <w:rsid w:val="0687687D"/>
    <w:rsid w:val="06897530"/>
    <w:rsid w:val="068F128E"/>
    <w:rsid w:val="0690668A"/>
    <w:rsid w:val="0699430F"/>
    <w:rsid w:val="069C5526"/>
    <w:rsid w:val="069D14F3"/>
    <w:rsid w:val="06A25465"/>
    <w:rsid w:val="06A727AB"/>
    <w:rsid w:val="06B04DEC"/>
    <w:rsid w:val="06BD7E66"/>
    <w:rsid w:val="06BF5659"/>
    <w:rsid w:val="06BF6017"/>
    <w:rsid w:val="06D01C7F"/>
    <w:rsid w:val="06DA1DEB"/>
    <w:rsid w:val="06E25862"/>
    <w:rsid w:val="06EF132F"/>
    <w:rsid w:val="06FC4B75"/>
    <w:rsid w:val="06FE7DA2"/>
    <w:rsid w:val="07040E53"/>
    <w:rsid w:val="07061CF9"/>
    <w:rsid w:val="070750DA"/>
    <w:rsid w:val="07092DF2"/>
    <w:rsid w:val="070A3DA7"/>
    <w:rsid w:val="070A6A26"/>
    <w:rsid w:val="07154AF1"/>
    <w:rsid w:val="071B39A7"/>
    <w:rsid w:val="07202A50"/>
    <w:rsid w:val="07302FB5"/>
    <w:rsid w:val="073402CD"/>
    <w:rsid w:val="07387D1D"/>
    <w:rsid w:val="07424874"/>
    <w:rsid w:val="074B7C94"/>
    <w:rsid w:val="074C33AB"/>
    <w:rsid w:val="074D45FD"/>
    <w:rsid w:val="075B61E7"/>
    <w:rsid w:val="075C3709"/>
    <w:rsid w:val="075C744A"/>
    <w:rsid w:val="07664F22"/>
    <w:rsid w:val="07677F15"/>
    <w:rsid w:val="076C48A9"/>
    <w:rsid w:val="077A7356"/>
    <w:rsid w:val="077E1A2E"/>
    <w:rsid w:val="077F361B"/>
    <w:rsid w:val="0780352B"/>
    <w:rsid w:val="078608E3"/>
    <w:rsid w:val="07867A14"/>
    <w:rsid w:val="07A75A20"/>
    <w:rsid w:val="07B3755B"/>
    <w:rsid w:val="07B524FE"/>
    <w:rsid w:val="07BC4304"/>
    <w:rsid w:val="07C05BA3"/>
    <w:rsid w:val="07C37594"/>
    <w:rsid w:val="07CC3DC3"/>
    <w:rsid w:val="07CF151D"/>
    <w:rsid w:val="07D032AF"/>
    <w:rsid w:val="07D33782"/>
    <w:rsid w:val="07DD49A7"/>
    <w:rsid w:val="07E051DC"/>
    <w:rsid w:val="07E52ACE"/>
    <w:rsid w:val="07EA11B3"/>
    <w:rsid w:val="07EA4DB0"/>
    <w:rsid w:val="07EB4117"/>
    <w:rsid w:val="07EE0198"/>
    <w:rsid w:val="07F1550C"/>
    <w:rsid w:val="080745B4"/>
    <w:rsid w:val="080E1C0A"/>
    <w:rsid w:val="08174ABE"/>
    <w:rsid w:val="08175244"/>
    <w:rsid w:val="08203093"/>
    <w:rsid w:val="08204893"/>
    <w:rsid w:val="08297544"/>
    <w:rsid w:val="082A6BC0"/>
    <w:rsid w:val="083723E6"/>
    <w:rsid w:val="08411AA0"/>
    <w:rsid w:val="08454B20"/>
    <w:rsid w:val="085229ED"/>
    <w:rsid w:val="08530B5C"/>
    <w:rsid w:val="08590BC8"/>
    <w:rsid w:val="085F7AEC"/>
    <w:rsid w:val="086678B9"/>
    <w:rsid w:val="086B36DD"/>
    <w:rsid w:val="086E6200"/>
    <w:rsid w:val="08760957"/>
    <w:rsid w:val="087D75C7"/>
    <w:rsid w:val="08944691"/>
    <w:rsid w:val="08990D27"/>
    <w:rsid w:val="08995220"/>
    <w:rsid w:val="089D1D62"/>
    <w:rsid w:val="089F56DB"/>
    <w:rsid w:val="08B45635"/>
    <w:rsid w:val="08BA55B6"/>
    <w:rsid w:val="08BA5866"/>
    <w:rsid w:val="08C169E9"/>
    <w:rsid w:val="08C217DA"/>
    <w:rsid w:val="08C32A04"/>
    <w:rsid w:val="08C66AF9"/>
    <w:rsid w:val="08CB4CB7"/>
    <w:rsid w:val="08CF3DBA"/>
    <w:rsid w:val="08DB7416"/>
    <w:rsid w:val="08E34471"/>
    <w:rsid w:val="08F27F0F"/>
    <w:rsid w:val="08F54561"/>
    <w:rsid w:val="08F61692"/>
    <w:rsid w:val="08FE249D"/>
    <w:rsid w:val="08FE5DCA"/>
    <w:rsid w:val="091E5584"/>
    <w:rsid w:val="09211305"/>
    <w:rsid w:val="09242161"/>
    <w:rsid w:val="09340620"/>
    <w:rsid w:val="093448F7"/>
    <w:rsid w:val="09371343"/>
    <w:rsid w:val="093A0DDD"/>
    <w:rsid w:val="093A77AE"/>
    <w:rsid w:val="093B73C2"/>
    <w:rsid w:val="093C74AB"/>
    <w:rsid w:val="09447EF3"/>
    <w:rsid w:val="094744CC"/>
    <w:rsid w:val="09556737"/>
    <w:rsid w:val="09584416"/>
    <w:rsid w:val="09584D06"/>
    <w:rsid w:val="095851EC"/>
    <w:rsid w:val="095E38C5"/>
    <w:rsid w:val="09601C5E"/>
    <w:rsid w:val="096C5419"/>
    <w:rsid w:val="096C54C1"/>
    <w:rsid w:val="0973298E"/>
    <w:rsid w:val="09794A8C"/>
    <w:rsid w:val="097A4477"/>
    <w:rsid w:val="09861627"/>
    <w:rsid w:val="098E6FBB"/>
    <w:rsid w:val="09912643"/>
    <w:rsid w:val="0992789F"/>
    <w:rsid w:val="09A47FF1"/>
    <w:rsid w:val="09B434E5"/>
    <w:rsid w:val="09B46870"/>
    <w:rsid w:val="09B62245"/>
    <w:rsid w:val="09BB4D04"/>
    <w:rsid w:val="09BF0F54"/>
    <w:rsid w:val="09C73FFB"/>
    <w:rsid w:val="09CE2C9B"/>
    <w:rsid w:val="09DA4C57"/>
    <w:rsid w:val="09DD0964"/>
    <w:rsid w:val="09E5470A"/>
    <w:rsid w:val="09E65247"/>
    <w:rsid w:val="09ED7D9D"/>
    <w:rsid w:val="09F86467"/>
    <w:rsid w:val="09FC36F6"/>
    <w:rsid w:val="09FC6F28"/>
    <w:rsid w:val="09FD208C"/>
    <w:rsid w:val="09FE427B"/>
    <w:rsid w:val="0A0242D9"/>
    <w:rsid w:val="0A164AB8"/>
    <w:rsid w:val="0A270513"/>
    <w:rsid w:val="0A2B15C4"/>
    <w:rsid w:val="0A2E3136"/>
    <w:rsid w:val="0A305363"/>
    <w:rsid w:val="0A4117BE"/>
    <w:rsid w:val="0A417441"/>
    <w:rsid w:val="0A463E8C"/>
    <w:rsid w:val="0A4A26F8"/>
    <w:rsid w:val="0A4E175F"/>
    <w:rsid w:val="0A504CBC"/>
    <w:rsid w:val="0A55741E"/>
    <w:rsid w:val="0A573FF5"/>
    <w:rsid w:val="0A622F41"/>
    <w:rsid w:val="0A6364AC"/>
    <w:rsid w:val="0A641D68"/>
    <w:rsid w:val="0A670DD3"/>
    <w:rsid w:val="0A6743E9"/>
    <w:rsid w:val="0A9F3358"/>
    <w:rsid w:val="0AA303AF"/>
    <w:rsid w:val="0AA83DE1"/>
    <w:rsid w:val="0AB23C5D"/>
    <w:rsid w:val="0AB268D2"/>
    <w:rsid w:val="0ABE5EDE"/>
    <w:rsid w:val="0AC0029E"/>
    <w:rsid w:val="0AC87B48"/>
    <w:rsid w:val="0AC912A8"/>
    <w:rsid w:val="0ACD0398"/>
    <w:rsid w:val="0AD910F4"/>
    <w:rsid w:val="0ADC4461"/>
    <w:rsid w:val="0AE107C7"/>
    <w:rsid w:val="0B02106B"/>
    <w:rsid w:val="0B025F7A"/>
    <w:rsid w:val="0B044101"/>
    <w:rsid w:val="0B0951C1"/>
    <w:rsid w:val="0B0D18DB"/>
    <w:rsid w:val="0B126DB1"/>
    <w:rsid w:val="0B13248D"/>
    <w:rsid w:val="0B2146B4"/>
    <w:rsid w:val="0B255252"/>
    <w:rsid w:val="0B267EBC"/>
    <w:rsid w:val="0B301699"/>
    <w:rsid w:val="0B4E6F0E"/>
    <w:rsid w:val="0B500561"/>
    <w:rsid w:val="0B562E18"/>
    <w:rsid w:val="0B563AB6"/>
    <w:rsid w:val="0B5900A1"/>
    <w:rsid w:val="0B590F6A"/>
    <w:rsid w:val="0B5C04CB"/>
    <w:rsid w:val="0B5E3EDA"/>
    <w:rsid w:val="0B600938"/>
    <w:rsid w:val="0B6C58EB"/>
    <w:rsid w:val="0B701F77"/>
    <w:rsid w:val="0B750A14"/>
    <w:rsid w:val="0B892750"/>
    <w:rsid w:val="0B8C6FD8"/>
    <w:rsid w:val="0B96020D"/>
    <w:rsid w:val="0BA44321"/>
    <w:rsid w:val="0BA75F37"/>
    <w:rsid w:val="0BAD3BCD"/>
    <w:rsid w:val="0BB53E3B"/>
    <w:rsid w:val="0BB760C8"/>
    <w:rsid w:val="0BB90E79"/>
    <w:rsid w:val="0BBC6135"/>
    <w:rsid w:val="0BC96FF0"/>
    <w:rsid w:val="0BE246D7"/>
    <w:rsid w:val="0BE51D24"/>
    <w:rsid w:val="0BE7654D"/>
    <w:rsid w:val="0BEB7429"/>
    <w:rsid w:val="0BED51E6"/>
    <w:rsid w:val="0BED5ADD"/>
    <w:rsid w:val="0BF33202"/>
    <w:rsid w:val="0BF85E70"/>
    <w:rsid w:val="0C0149DC"/>
    <w:rsid w:val="0C0850BA"/>
    <w:rsid w:val="0C0C1113"/>
    <w:rsid w:val="0C123D37"/>
    <w:rsid w:val="0C177D5B"/>
    <w:rsid w:val="0C1903EF"/>
    <w:rsid w:val="0C1F092B"/>
    <w:rsid w:val="0C213404"/>
    <w:rsid w:val="0C251C00"/>
    <w:rsid w:val="0C2734B4"/>
    <w:rsid w:val="0C283A99"/>
    <w:rsid w:val="0C283CAA"/>
    <w:rsid w:val="0C2E072F"/>
    <w:rsid w:val="0C346B5F"/>
    <w:rsid w:val="0C352DA9"/>
    <w:rsid w:val="0C3A7885"/>
    <w:rsid w:val="0C456EFB"/>
    <w:rsid w:val="0C4C20FB"/>
    <w:rsid w:val="0C4E12E7"/>
    <w:rsid w:val="0C55372B"/>
    <w:rsid w:val="0C5A3140"/>
    <w:rsid w:val="0C5E03CE"/>
    <w:rsid w:val="0C7950A5"/>
    <w:rsid w:val="0C7C7F29"/>
    <w:rsid w:val="0C9E047D"/>
    <w:rsid w:val="0CA758CA"/>
    <w:rsid w:val="0CC200F4"/>
    <w:rsid w:val="0CC7361B"/>
    <w:rsid w:val="0CD351ED"/>
    <w:rsid w:val="0CD861A6"/>
    <w:rsid w:val="0CDD3141"/>
    <w:rsid w:val="0CDD473D"/>
    <w:rsid w:val="0CE068F0"/>
    <w:rsid w:val="0CE71E24"/>
    <w:rsid w:val="0CE949D7"/>
    <w:rsid w:val="0CF0414A"/>
    <w:rsid w:val="0CF15E28"/>
    <w:rsid w:val="0CF602B9"/>
    <w:rsid w:val="0CF75CA4"/>
    <w:rsid w:val="0CFA30E7"/>
    <w:rsid w:val="0CFB473E"/>
    <w:rsid w:val="0CFC020D"/>
    <w:rsid w:val="0D07536E"/>
    <w:rsid w:val="0D0B18CB"/>
    <w:rsid w:val="0D1858EB"/>
    <w:rsid w:val="0D1D69AD"/>
    <w:rsid w:val="0D2016B6"/>
    <w:rsid w:val="0D205447"/>
    <w:rsid w:val="0D222E5C"/>
    <w:rsid w:val="0D232630"/>
    <w:rsid w:val="0D276B5B"/>
    <w:rsid w:val="0D2C54A4"/>
    <w:rsid w:val="0D3015AB"/>
    <w:rsid w:val="0D5D3E94"/>
    <w:rsid w:val="0D6538E9"/>
    <w:rsid w:val="0D6F1840"/>
    <w:rsid w:val="0D832C11"/>
    <w:rsid w:val="0D8929ED"/>
    <w:rsid w:val="0D984ECC"/>
    <w:rsid w:val="0D9C03E6"/>
    <w:rsid w:val="0DA66FCC"/>
    <w:rsid w:val="0DC020FD"/>
    <w:rsid w:val="0DC36603"/>
    <w:rsid w:val="0DC643AF"/>
    <w:rsid w:val="0DC735BE"/>
    <w:rsid w:val="0DD021D2"/>
    <w:rsid w:val="0DD46B39"/>
    <w:rsid w:val="0DD47A4A"/>
    <w:rsid w:val="0DE37C2C"/>
    <w:rsid w:val="0DE62914"/>
    <w:rsid w:val="0DEC4F00"/>
    <w:rsid w:val="0E071222"/>
    <w:rsid w:val="0E0A6494"/>
    <w:rsid w:val="0E0C1EBB"/>
    <w:rsid w:val="0E0D6EFD"/>
    <w:rsid w:val="0E141D3A"/>
    <w:rsid w:val="0E1C38B1"/>
    <w:rsid w:val="0E2055ED"/>
    <w:rsid w:val="0E2A7B44"/>
    <w:rsid w:val="0E350F9E"/>
    <w:rsid w:val="0E415ECF"/>
    <w:rsid w:val="0E426E7F"/>
    <w:rsid w:val="0E521B82"/>
    <w:rsid w:val="0E545AE6"/>
    <w:rsid w:val="0E5745CF"/>
    <w:rsid w:val="0E587734"/>
    <w:rsid w:val="0E646028"/>
    <w:rsid w:val="0E6E58A5"/>
    <w:rsid w:val="0E773BB2"/>
    <w:rsid w:val="0E79738D"/>
    <w:rsid w:val="0E7A3B12"/>
    <w:rsid w:val="0E7E5FCD"/>
    <w:rsid w:val="0E880F80"/>
    <w:rsid w:val="0E91004D"/>
    <w:rsid w:val="0E991157"/>
    <w:rsid w:val="0E9A2458"/>
    <w:rsid w:val="0E9D1E80"/>
    <w:rsid w:val="0EA40DB6"/>
    <w:rsid w:val="0EB02980"/>
    <w:rsid w:val="0EB0564E"/>
    <w:rsid w:val="0EB05C61"/>
    <w:rsid w:val="0EBE0D80"/>
    <w:rsid w:val="0EC468CC"/>
    <w:rsid w:val="0EC676BC"/>
    <w:rsid w:val="0EC95A63"/>
    <w:rsid w:val="0ECB2AB9"/>
    <w:rsid w:val="0ED11F53"/>
    <w:rsid w:val="0ED32F2B"/>
    <w:rsid w:val="0EE33598"/>
    <w:rsid w:val="0EE61038"/>
    <w:rsid w:val="0EEF0E4F"/>
    <w:rsid w:val="0EEF3211"/>
    <w:rsid w:val="0EEF71F4"/>
    <w:rsid w:val="0EF51B17"/>
    <w:rsid w:val="0EF53592"/>
    <w:rsid w:val="0EF56A7A"/>
    <w:rsid w:val="0EF86485"/>
    <w:rsid w:val="0F122E62"/>
    <w:rsid w:val="0F132D7B"/>
    <w:rsid w:val="0F1A5019"/>
    <w:rsid w:val="0F1F58A5"/>
    <w:rsid w:val="0F301A79"/>
    <w:rsid w:val="0F345DA3"/>
    <w:rsid w:val="0F3C643B"/>
    <w:rsid w:val="0F4054AB"/>
    <w:rsid w:val="0F4D317D"/>
    <w:rsid w:val="0F4E09B5"/>
    <w:rsid w:val="0F64628B"/>
    <w:rsid w:val="0F723AD0"/>
    <w:rsid w:val="0F7E68E7"/>
    <w:rsid w:val="0F85745C"/>
    <w:rsid w:val="0F8B5B02"/>
    <w:rsid w:val="0F901645"/>
    <w:rsid w:val="0F9047F5"/>
    <w:rsid w:val="0F9F11C4"/>
    <w:rsid w:val="0FA17A3B"/>
    <w:rsid w:val="0FA45F15"/>
    <w:rsid w:val="0FA853C3"/>
    <w:rsid w:val="0FAF1B7D"/>
    <w:rsid w:val="0FD83A2F"/>
    <w:rsid w:val="0FD96B17"/>
    <w:rsid w:val="0FE8038D"/>
    <w:rsid w:val="0FEE505C"/>
    <w:rsid w:val="0FF01258"/>
    <w:rsid w:val="0FF17F42"/>
    <w:rsid w:val="0FF64BAA"/>
    <w:rsid w:val="0FFB28A7"/>
    <w:rsid w:val="0FFC25C0"/>
    <w:rsid w:val="0FFC59B8"/>
    <w:rsid w:val="0FFD168A"/>
    <w:rsid w:val="10093E5F"/>
    <w:rsid w:val="10244625"/>
    <w:rsid w:val="103E5FF3"/>
    <w:rsid w:val="10472428"/>
    <w:rsid w:val="10587A08"/>
    <w:rsid w:val="105E1A97"/>
    <w:rsid w:val="105E55D7"/>
    <w:rsid w:val="107E3F0C"/>
    <w:rsid w:val="107F33D2"/>
    <w:rsid w:val="10846958"/>
    <w:rsid w:val="108974A9"/>
    <w:rsid w:val="10922D3A"/>
    <w:rsid w:val="109853AD"/>
    <w:rsid w:val="10991687"/>
    <w:rsid w:val="10A31AC1"/>
    <w:rsid w:val="10A92DD6"/>
    <w:rsid w:val="10AB456B"/>
    <w:rsid w:val="10B760B8"/>
    <w:rsid w:val="10C31782"/>
    <w:rsid w:val="10C47703"/>
    <w:rsid w:val="10CC506D"/>
    <w:rsid w:val="10CE5765"/>
    <w:rsid w:val="10CF6554"/>
    <w:rsid w:val="10D625DC"/>
    <w:rsid w:val="10FB0111"/>
    <w:rsid w:val="10FC710C"/>
    <w:rsid w:val="10FD39C4"/>
    <w:rsid w:val="110411F6"/>
    <w:rsid w:val="11043946"/>
    <w:rsid w:val="11121F93"/>
    <w:rsid w:val="11143E87"/>
    <w:rsid w:val="11194E29"/>
    <w:rsid w:val="111B6C9E"/>
    <w:rsid w:val="111C748E"/>
    <w:rsid w:val="11230B5B"/>
    <w:rsid w:val="11281AB2"/>
    <w:rsid w:val="11331123"/>
    <w:rsid w:val="11336AE2"/>
    <w:rsid w:val="113C0A28"/>
    <w:rsid w:val="1147508B"/>
    <w:rsid w:val="115376F4"/>
    <w:rsid w:val="115D1210"/>
    <w:rsid w:val="115E01DA"/>
    <w:rsid w:val="115F642C"/>
    <w:rsid w:val="11646656"/>
    <w:rsid w:val="11697FC3"/>
    <w:rsid w:val="117B0D8C"/>
    <w:rsid w:val="11811B7B"/>
    <w:rsid w:val="11823969"/>
    <w:rsid w:val="1184129B"/>
    <w:rsid w:val="11877E6D"/>
    <w:rsid w:val="11916688"/>
    <w:rsid w:val="11A9299C"/>
    <w:rsid w:val="11AD7ED2"/>
    <w:rsid w:val="11C501B6"/>
    <w:rsid w:val="11C77903"/>
    <w:rsid w:val="11CB28F1"/>
    <w:rsid w:val="11CF5287"/>
    <w:rsid w:val="11D918D2"/>
    <w:rsid w:val="11D97F2F"/>
    <w:rsid w:val="11DA3E6F"/>
    <w:rsid w:val="11EE647E"/>
    <w:rsid w:val="11F755AD"/>
    <w:rsid w:val="120134BE"/>
    <w:rsid w:val="12041922"/>
    <w:rsid w:val="120F09FE"/>
    <w:rsid w:val="121E1EAB"/>
    <w:rsid w:val="12230A7D"/>
    <w:rsid w:val="12375F2D"/>
    <w:rsid w:val="123F292A"/>
    <w:rsid w:val="124435D6"/>
    <w:rsid w:val="12601C36"/>
    <w:rsid w:val="12626151"/>
    <w:rsid w:val="1269545A"/>
    <w:rsid w:val="12775413"/>
    <w:rsid w:val="12790ECC"/>
    <w:rsid w:val="1279597A"/>
    <w:rsid w:val="128D6FC9"/>
    <w:rsid w:val="128D74A8"/>
    <w:rsid w:val="12923F48"/>
    <w:rsid w:val="129D2AD4"/>
    <w:rsid w:val="129E4D32"/>
    <w:rsid w:val="129F1B6B"/>
    <w:rsid w:val="12A87916"/>
    <w:rsid w:val="12AA27CF"/>
    <w:rsid w:val="12AB7F14"/>
    <w:rsid w:val="12AF6A46"/>
    <w:rsid w:val="12B20B92"/>
    <w:rsid w:val="12B50BAD"/>
    <w:rsid w:val="12B552AD"/>
    <w:rsid w:val="12B97F39"/>
    <w:rsid w:val="12BF249B"/>
    <w:rsid w:val="12BF508D"/>
    <w:rsid w:val="12C04642"/>
    <w:rsid w:val="12C103B0"/>
    <w:rsid w:val="12D81F86"/>
    <w:rsid w:val="12E623DC"/>
    <w:rsid w:val="12F66C90"/>
    <w:rsid w:val="12FF3C33"/>
    <w:rsid w:val="130415B8"/>
    <w:rsid w:val="130A3299"/>
    <w:rsid w:val="130E0B38"/>
    <w:rsid w:val="1315633D"/>
    <w:rsid w:val="131A5DD5"/>
    <w:rsid w:val="131B1726"/>
    <w:rsid w:val="13211C0F"/>
    <w:rsid w:val="132810D0"/>
    <w:rsid w:val="13286CF2"/>
    <w:rsid w:val="132E3295"/>
    <w:rsid w:val="13346F60"/>
    <w:rsid w:val="13390EFF"/>
    <w:rsid w:val="133B0CD9"/>
    <w:rsid w:val="133D4B45"/>
    <w:rsid w:val="13430A8C"/>
    <w:rsid w:val="134A0A16"/>
    <w:rsid w:val="134E0C3A"/>
    <w:rsid w:val="13511307"/>
    <w:rsid w:val="135137A7"/>
    <w:rsid w:val="135875D7"/>
    <w:rsid w:val="135C161C"/>
    <w:rsid w:val="136028B2"/>
    <w:rsid w:val="13653FCD"/>
    <w:rsid w:val="13787827"/>
    <w:rsid w:val="138044DA"/>
    <w:rsid w:val="13943A87"/>
    <w:rsid w:val="13962AF4"/>
    <w:rsid w:val="139F3906"/>
    <w:rsid w:val="139F6FB4"/>
    <w:rsid w:val="13BC72DB"/>
    <w:rsid w:val="13BE13BC"/>
    <w:rsid w:val="13C06F2A"/>
    <w:rsid w:val="13C363B6"/>
    <w:rsid w:val="13CD5A7C"/>
    <w:rsid w:val="13D36A07"/>
    <w:rsid w:val="13D438F9"/>
    <w:rsid w:val="13DD1444"/>
    <w:rsid w:val="13DF5FFB"/>
    <w:rsid w:val="13E04326"/>
    <w:rsid w:val="13E64DFF"/>
    <w:rsid w:val="13E874BC"/>
    <w:rsid w:val="13EB4760"/>
    <w:rsid w:val="13EC04C4"/>
    <w:rsid w:val="13ED7E7E"/>
    <w:rsid w:val="13EE111D"/>
    <w:rsid w:val="13F039E2"/>
    <w:rsid w:val="13F4685E"/>
    <w:rsid w:val="13F96AEE"/>
    <w:rsid w:val="14000BB3"/>
    <w:rsid w:val="1404122F"/>
    <w:rsid w:val="141C19D2"/>
    <w:rsid w:val="141D16DE"/>
    <w:rsid w:val="141E1F94"/>
    <w:rsid w:val="14263477"/>
    <w:rsid w:val="1431328F"/>
    <w:rsid w:val="14333BA0"/>
    <w:rsid w:val="144E4905"/>
    <w:rsid w:val="145271C8"/>
    <w:rsid w:val="14594A4C"/>
    <w:rsid w:val="14692D59"/>
    <w:rsid w:val="14761164"/>
    <w:rsid w:val="147B1E59"/>
    <w:rsid w:val="147B303E"/>
    <w:rsid w:val="14916DCB"/>
    <w:rsid w:val="14942891"/>
    <w:rsid w:val="14951FA8"/>
    <w:rsid w:val="149C1A1A"/>
    <w:rsid w:val="14AE3227"/>
    <w:rsid w:val="14BE346A"/>
    <w:rsid w:val="14C11AA1"/>
    <w:rsid w:val="14C75BEA"/>
    <w:rsid w:val="14C8092C"/>
    <w:rsid w:val="14CC0A70"/>
    <w:rsid w:val="14E66637"/>
    <w:rsid w:val="14E82BDD"/>
    <w:rsid w:val="14EF5BB2"/>
    <w:rsid w:val="14F14306"/>
    <w:rsid w:val="14FD1868"/>
    <w:rsid w:val="15051099"/>
    <w:rsid w:val="150E50DF"/>
    <w:rsid w:val="150F23CF"/>
    <w:rsid w:val="15190FE8"/>
    <w:rsid w:val="151B0E10"/>
    <w:rsid w:val="151F0B59"/>
    <w:rsid w:val="15213B97"/>
    <w:rsid w:val="152F728B"/>
    <w:rsid w:val="1541405D"/>
    <w:rsid w:val="155548F9"/>
    <w:rsid w:val="155D2301"/>
    <w:rsid w:val="155E6E54"/>
    <w:rsid w:val="15623ED4"/>
    <w:rsid w:val="156D1357"/>
    <w:rsid w:val="1574209C"/>
    <w:rsid w:val="157C487A"/>
    <w:rsid w:val="1585667E"/>
    <w:rsid w:val="15884A36"/>
    <w:rsid w:val="158F765D"/>
    <w:rsid w:val="15983321"/>
    <w:rsid w:val="159C6BEF"/>
    <w:rsid w:val="159D41BD"/>
    <w:rsid w:val="159F14ED"/>
    <w:rsid w:val="15AE3519"/>
    <w:rsid w:val="15B03E7D"/>
    <w:rsid w:val="15B274BF"/>
    <w:rsid w:val="15BC4E39"/>
    <w:rsid w:val="15BF5A9D"/>
    <w:rsid w:val="15C26CE1"/>
    <w:rsid w:val="15C34F5F"/>
    <w:rsid w:val="15C61A9C"/>
    <w:rsid w:val="15C843E6"/>
    <w:rsid w:val="15C96064"/>
    <w:rsid w:val="15D02612"/>
    <w:rsid w:val="15DA468D"/>
    <w:rsid w:val="15E92586"/>
    <w:rsid w:val="15F24E6B"/>
    <w:rsid w:val="15F90469"/>
    <w:rsid w:val="15FA170B"/>
    <w:rsid w:val="16067107"/>
    <w:rsid w:val="160752E5"/>
    <w:rsid w:val="160D3997"/>
    <w:rsid w:val="160F7CF5"/>
    <w:rsid w:val="16105F47"/>
    <w:rsid w:val="16123FDA"/>
    <w:rsid w:val="161333A5"/>
    <w:rsid w:val="16207487"/>
    <w:rsid w:val="16247F81"/>
    <w:rsid w:val="1629525B"/>
    <w:rsid w:val="162A49BB"/>
    <w:rsid w:val="162F398C"/>
    <w:rsid w:val="163C6AEC"/>
    <w:rsid w:val="164050C0"/>
    <w:rsid w:val="16410EDD"/>
    <w:rsid w:val="164661BF"/>
    <w:rsid w:val="16502E72"/>
    <w:rsid w:val="16697BEE"/>
    <w:rsid w:val="168E6824"/>
    <w:rsid w:val="16A11B2C"/>
    <w:rsid w:val="16A966F9"/>
    <w:rsid w:val="16AC2D61"/>
    <w:rsid w:val="16B237A1"/>
    <w:rsid w:val="16B869C0"/>
    <w:rsid w:val="16BB3A58"/>
    <w:rsid w:val="16BC6CD7"/>
    <w:rsid w:val="16C11640"/>
    <w:rsid w:val="16CC55EB"/>
    <w:rsid w:val="16CF0354"/>
    <w:rsid w:val="16CF087F"/>
    <w:rsid w:val="16E77B70"/>
    <w:rsid w:val="16EB65B5"/>
    <w:rsid w:val="16EF2001"/>
    <w:rsid w:val="16F13A5C"/>
    <w:rsid w:val="16F21F60"/>
    <w:rsid w:val="16F34814"/>
    <w:rsid w:val="16F765C2"/>
    <w:rsid w:val="16F804B6"/>
    <w:rsid w:val="16FB5C54"/>
    <w:rsid w:val="17045A32"/>
    <w:rsid w:val="17084E70"/>
    <w:rsid w:val="170A1801"/>
    <w:rsid w:val="170F5727"/>
    <w:rsid w:val="171270F4"/>
    <w:rsid w:val="17141A67"/>
    <w:rsid w:val="171868A7"/>
    <w:rsid w:val="172F064F"/>
    <w:rsid w:val="17307927"/>
    <w:rsid w:val="17312AD3"/>
    <w:rsid w:val="17317069"/>
    <w:rsid w:val="17362D99"/>
    <w:rsid w:val="173D359F"/>
    <w:rsid w:val="173D5137"/>
    <w:rsid w:val="17463BEB"/>
    <w:rsid w:val="17487DE3"/>
    <w:rsid w:val="175479D5"/>
    <w:rsid w:val="17550568"/>
    <w:rsid w:val="176600BA"/>
    <w:rsid w:val="17684555"/>
    <w:rsid w:val="176A1B52"/>
    <w:rsid w:val="176A5F13"/>
    <w:rsid w:val="176D5141"/>
    <w:rsid w:val="176E4BF0"/>
    <w:rsid w:val="177121F2"/>
    <w:rsid w:val="17752DF9"/>
    <w:rsid w:val="17774E9E"/>
    <w:rsid w:val="177822BC"/>
    <w:rsid w:val="177D43D6"/>
    <w:rsid w:val="17833793"/>
    <w:rsid w:val="179F0B5F"/>
    <w:rsid w:val="17AC08CE"/>
    <w:rsid w:val="17BB4950"/>
    <w:rsid w:val="17C40EB5"/>
    <w:rsid w:val="17C66D95"/>
    <w:rsid w:val="17CF1975"/>
    <w:rsid w:val="17DB1815"/>
    <w:rsid w:val="17DD1F20"/>
    <w:rsid w:val="17E802B7"/>
    <w:rsid w:val="17F451A8"/>
    <w:rsid w:val="17F851E0"/>
    <w:rsid w:val="180C2BCE"/>
    <w:rsid w:val="181B6E25"/>
    <w:rsid w:val="181F5BC6"/>
    <w:rsid w:val="1827285E"/>
    <w:rsid w:val="1831544C"/>
    <w:rsid w:val="183253C4"/>
    <w:rsid w:val="18361752"/>
    <w:rsid w:val="185831C9"/>
    <w:rsid w:val="186D64B1"/>
    <w:rsid w:val="187A57B2"/>
    <w:rsid w:val="188521E8"/>
    <w:rsid w:val="188E2684"/>
    <w:rsid w:val="18962EB1"/>
    <w:rsid w:val="18995801"/>
    <w:rsid w:val="18A118AC"/>
    <w:rsid w:val="18A705C6"/>
    <w:rsid w:val="18B47A13"/>
    <w:rsid w:val="18BA6A3B"/>
    <w:rsid w:val="18BB11EA"/>
    <w:rsid w:val="18C55560"/>
    <w:rsid w:val="18D53478"/>
    <w:rsid w:val="18E17FA4"/>
    <w:rsid w:val="18EB0BCE"/>
    <w:rsid w:val="18F27723"/>
    <w:rsid w:val="18F53F27"/>
    <w:rsid w:val="18F644A0"/>
    <w:rsid w:val="18FA699D"/>
    <w:rsid w:val="19004BC5"/>
    <w:rsid w:val="190274BD"/>
    <w:rsid w:val="190F1CA1"/>
    <w:rsid w:val="1927417B"/>
    <w:rsid w:val="192C330F"/>
    <w:rsid w:val="192E3B84"/>
    <w:rsid w:val="19336854"/>
    <w:rsid w:val="19540841"/>
    <w:rsid w:val="195C76F5"/>
    <w:rsid w:val="195F29E6"/>
    <w:rsid w:val="196746C1"/>
    <w:rsid w:val="1968609A"/>
    <w:rsid w:val="197137F7"/>
    <w:rsid w:val="19766A09"/>
    <w:rsid w:val="197929DD"/>
    <w:rsid w:val="19802D7C"/>
    <w:rsid w:val="19844133"/>
    <w:rsid w:val="198C2DF3"/>
    <w:rsid w:val="198D5B01"/>
    <w:rsid w:val="1990587A"/>
    <w:rsid w:val="199944A6"/>
    <w:rsid w:val="19A1635B"/>
    <w:rsid w:val="19A3356D"/>
    <w:rsid w:val="19A64AC3"/>
    <w:rsid w:val="19C2330C"/>
    <w:rsid w:val="19C32FEC"/>
    <w:rsid w:val="19D430B2"/>
    <w:rsid w:val="19D620F0"/>
    <w:rsid w:val="19D64945"/>
    <w:rsid w:val="19D74098"/>
    <w:rsid w:val="19E46CDC"/>
    <w:rsid w:val="19F85256"/>
    <w:rsid w:val="1A086F27"/>
    <w:rsid w:val="1A0A63CB"/>
    <w:rsid w:val="1A1109E8"/>
    <w:rsid w:val="1A187AC0"/>
    <w:rsid w:val="1A2A7D4F"/>
    <w:rsid w:val="1A2F251B"/>
    <w:rsid w:val="1A3146DE"/>
    <w:rsid w:val="1A3F5F9C"/>
    <w:rsid w:val="1A402B73"/>
    <w:rsid w:val="1A404FCA"/>
    <w:rsid w:val="1A4A0A06"/>
    <w:rsid w:val="1A4A2D77"/>
    <w:rsid w:val="1A4A63F0"/>
    <w:rsid w:val="1A507583"/>
    <w:rsid w:val="1A51377F"/>
    <w:rsid w:val="1A51411A"/>
    <w:rsid w:val="1A571250"/>
    <w:rsid w:val="1A623481"/>
    <w:rsid w:val="1A6920CA"/>
    <w:rsid w:val="1A696C1A"/>
    <w:rsid w:val="1A785BFA"/>
    <w:rsid w:val="1A7A06D5"/>
    <w:rsid w:val="1A8A2259"/>
    <w:rsid w:val="1A8D0754"/>
    <w:rsid w:val="1A952EBF"/>
    <w:rsid w:val="1A9D2DC1"/>
    <w:rsid w:val="1AA41354"/>
    <w:rsid w:val="1AB62E35"/>
    <w:rsid w:val="1ABF17B8"/>
    <w:rsid w:val="1ACE2CCF"/>
    <w:rsid w:val="1AD10DAB"/>
    <w:rsid w:val="1AD5257F"/>
    <w:rsid w:val="1AD95210"/>
    <w:rsid w:val="1AE609E7"/>
    <w:rsid w:val="1B0055DF"/>
    <w:rsid w:val="1B014EF2"/>
    <w:rsid w:val="1B067D0B"/>
    <w:rsid w:val="1B0730FB"/>
    <w:rsid w:val="1B0C5DC2"/>
    <w:rsid w:val="1B0F5B95"/>
    <w:rsid w:val="1B1658DE"/>
    <w:rsid w:val="1B1B4EE1"/>
    <w:rsid w:val="1B1C3A4B"/>
    <w:rsid w:val="1B20516C"/>
    <w:rsid w:val="1B2C6F0B"/>
    <w:rsid w:val="1B32392A"/>
    <w:rsid w:val="1B416BA3"/>
    <w:rsid w:val="1B4A57BA"/>
    <w:rsid w:val="1B59213E"/>
    <w:rsid w:val="1B593EEC"/>
    <w:rsid w:val="1B644DD1"/>
    <w:rsid w:val="1B887557"/>
    <w:rsid w:val="1B8D05D4"/>
    <w:rsid w:val="1B8F3DB2"/>
    <w:rsid w:val="1BA323E9"/>
    <w:rsid w:val="1BA82C6C"/>
    <w:rsid w:val="1BAA5088"/>
    <w:rsid w:val="1BB447F9"/>
    <w:rsid w:val="1BB92BDD"/>
    <w:rsid w:val="1BBD5CC7"/>
    <w:rsid w:val="1BBE28E7"/>
    <w:rsid w:val="1BC670A8"/>
    <w:rsid w:val="1BC77375"/>
    <w:rsid w:val="1BCD0335"/>
    <w:rsid w:val="1BCD687F"/>
    <w:rsid w:val="1BCF17BB"/>
    <w:rsid w:val="1BD57664"/>
    <w:rsid w:val="1BDC7CBA"/>
    <w:rsid w:val="1BE053F2"/>
    <w:rsid w:val="1BE1218D"/>
    <w:rsid w:val="1BE511AC"/>
    <w:rsid w:val="1BE553D5"/>
    <w:rsid w:val="1BE7599C"/>
    <w:rsid w:val="1BEA6054"/>
    <w:rsid w:val="1BEB6D92"/>
    <w:rsid w:val="1BF12377"/>
    <w:rsid w:val="1BF60E85"/>
    <w:rsid w:val="1BF70A50"/>
    <w:rsid w:val="1BFA3087"/>
    <w:rsid w:val="1C0B1E6D"/>
    <w:rsid w:val="1C1E7C73"/>
    <w:rsid w:val="1C28666D"/>
    <w:rsid w:val="1C3851B1"/>
    <w:rsid w:val="1C4540D6"/>
    <w:rsid w:val="1C4E3AD8"/>
    <w:rsid w:val="1C4F3541"/>
    <w:rsid w:val="1C5677B4"/>
    <w:rsid w:val="1C5C0B2B"/>
    <w:rsid w:val="1C691DF3"/>
    <w:rsid w:val="1C7C6BA9"/>
    <w:rsid w:val="1C7F02CD"/>
    <w:rsid w:val="1C7F66A7"/>
    <w:rsid w:val="1C8278C0"/>
    <w:rsid w:val="1C835B7E"/>
    <w:rsid w:val="1C8651B5"/>
    <w:rsid w:val="1C873AF0"/>
    <w:rsid w:val="1C9C284F"/>
    <w:rsid w:val="1CB67348"/>
    <w:rsid w:val="1CB76E41"/>
    <w:rsid w:val="1CC67768"/>
    <w:rsid w:val="1CC730D8"/>
    <w:rsid w:val="1CCA51DC"/>
    <w:rsid w:val="1CDF48C5"/>
    <w:rsid w:val="1CF022C5"/>
    <w:rsid w:val="1CF275FB"/>
    <w:rsid w:val="1CF57088"/>
    <w:rsid w:val="1D0968FE"/>
    <w:rsid w:val="1D0D1718"/>
    <w:rsid w:val="1D0F1968"/>
    <w:rsid w:val="1D236AD3"/>
    <w:rsid w:val="1D252FC8"/>
    <w:rsid w:val="1D276C8E"/>
    <w:rsid w:val="1D2A0B83"/>
    <w:rsid w:val="1D34125D"/>
    <w:rsid w:val="1D397B2A"/>
    <w:rsid w:val="1D3A7D4E"/>
    <w:rsid w:val="1D3C5874"/>
    <w:rsid w:val="1D42620B"/>
    <w:rsid w:val="1D452215"/>
    <w:rsid w:val="1D4A4488"/>
    <w:rsid w:val="1D5115D2"/>
    <w:rsid w:val="1D526E45"/>
    <w:rsid w:val="1D5726AE"/>
    <w:rsid w:val="1D5A219E"/>
    <w:rsid w:val="1D6152DA"/>
    <w:rsid w:val="1D647387"/>
    <w:rsid w:val="1D677770"/>
    <w:rsid w:val="1D6F0A27"/>
    <w:rsid w:val="1D722559"/>
    <w:rsid w:val="1D7B0D1E"/>
    <w:rsid w:val="1D7E2B3F"/>
    <w:rsid w:val="1D832084"/>
    <w:rsid w:val="1D9A557D"/>
    <w:rsid w:val="1DA0011C"/>
    <w:rsid w:val="1DA527B6"/>
    <w:rsid w:val="1DA90073"/>
    <w:rsid w:val="1DAA5D61"/>
    <w:rsid w:val="1DAB7374"/>
    <w:rsid w:val="1DAD0DAE"/>
    <w:rsid w:val="1DAE4542"/>
    <w:rsid w:val="1DB43387"/>
    <w:rsid w:val="1DBA3917"/>
    <w:rsid w:val="1DC6338F"/>
    <w:rsid w:val="1DC807A2"/>
    <w:rsid w:val="1DCB4E4A"/>
    <w:rsid w:val="1DD742BB"/>
    <w:rsid w:val="1DDE6F29"/>
    <w:rsid w:val="1DE0649A"/>
    <w:rsid w:val="1DE909A1"/>
    <w:rsid w:val="1DF309EF"/>
    <w:rsid w:val="1DF760F0"/>
    <w:rsid w:val="1DFC357B"/>
    <w:rsid w:val="1E003D34"/>
    <w:rsid w:val="1E065839"/>
    <w:rsid w:val="1E10516A"/>
    <w:rsid w:val="1E1C6D63"/>
    <w:rsid w:val="1E210F11"/>
    <w:rsid w:val="1E250964"/>
    <w:rsid w:val="1E2B20DB"/>
    <w:rsid w:val="1E3D59F6"/>
    <w:rsid w:val="1E3F4ECB"/>
    <w:rsid w:val="1E475C48"/>
    <w:rsid w:val="1E4A3FC0"/>
    <w:rsid w:val="1E561B8B"/>
    <w:rsid w:val="1E5715C6"/>
    <w:rsid w:val="1E583433"/>
    <w:rsid w:val="1E5C3947"/>
    <w:rsid w:val="1E62130A"/>
    <w:rsid w:val="1E705799"/>
    <w:rsid w:val="1E7571FF"/>
    <w:rsid w:val="1E895FCD"/>
    <w:rsid w:val="1E8E3AA8"/>
    <w:rsid w:val="1EB40431"/>
    <w:rsid w:val="1ECA1C13"/>
    <w:rsid w:val="1ED534C5"/>
    <w:rsid w:val="1EE224F3"/>
    <w:rsid w:val="1EE27E32"/>
    <w:rsid w:val="1EE62299"/>
    <w:rsid w:val="1EE80288"/>
    <w:rsid w:val="1EE93ADD"/>
    <w:rsid w:val="1EEA0F12"/>
    <w:rsid w:val="1F0B3EDC"/>
    <w:rsid w:val="1F134CFA"/>
    <w:rsid w:val="1F203707"/>
    <w:rsid w:val="1F363089"/>
    <w:rsid w:val="1F37397B"/>
    <w:rsid w:val="1F386A3E"/>
    <w:rsid w:val="1F39088D"/>
    <w:rsid w:val="1F3A3551"/>
    <w:rsid w:val="1F3C056D"/>
    <w:rsid w:val="1F3F164B"/>
    <w:rsid w:val="1F443CBC"/>
    <w:rsid w:val="1F454C7E"/>
    <w:rsid w:val="1F464788"/>
    <w:rsid w:val="1F48099B"/>
    <w:rsid w:val="1F4872F7"/>
    <w:rsid w:val="1F4D2116"/>
    <w:rsid w:val="1F4E5E4E"/>
    <w:rsid w:val="1F672DAC"/>
    <w:rsid w:val="1F6B524B"/>
    <w:rsid w:val="1F6E3CDF"/>
    <w:rsid w:val="1F707A57"/>
    <w:rsid w:val="1F80671B"/>
    <w:rsid w:val="1F815D44"/>
    <w:rsid w:val="1F824080"/>
    <w:rsid w:val="1F882968"/>
    <w:rsid w:val="1F8B175C"/>
    <w:rsid w:val="1F8B3E78"/>
    <w:rsid w:val="1F907FCE"/>
    <w:rsid w:val="1F915243"/>
    <w:rsid w:val="1F93146E"/>
    <w:rsid w:val="1FA020FB"/>
    <w:rsid w:val="1FA6791C"/>
    <w:rsid w:val="1FAB6FFD"/>
    <w:rsid w:val="1FAE7F98"/>
    <w:rsid w:val="1FD76B30"/>
    <w:rsid w:val="1FE17767"/>
    <w:rsid w:val="1FE35216"/>
    <w:rsid w:val="1FED72F9"/>
    <w:rsid w:val="1FF23802"/>
    <w:rsid w:val="1FF82C2A"/>
    <w:rsid w:val="1FFF770A"/>
    <w:rsid w:val="2001348E"/>
    <w:rsid w:val="20037194"/>
    <w:rsid w:val="20085F76"/>
    <w:rsid w:val="200B0884"/>
    <w:rsid w:val="200E3B0D"/>
    <w:rsid w:val="20162E99"/>
    <w:rsid w:val="2016337E"/>
    <w:rsid w:val="201979A0"/>
    <w:rsid w:val="201F24E6"/>
    <w:rsid w:val="20202F7D"/>
    <w:rsid w:val="20237D0E"/>
    <w:rsid w:val="20260BF4"/>
    <w:rsid w:val="20264D0B"/>
    <w:rsid w:val="202A1C5D"/>
    <w:rsid w:val="20316E68"/>
    <w:rsid w:val="20345813"/>
    <w:rsid w:val="20407070"/>
    <w:rsid w:val="204857EB"/>
    <w:rsid w:val="205B2016"/>
    <w:rsid w:val="205B55DB"/>
    <w:rsid w:val="20601A4C"/>
    <w:rsid w:val="20684E39"/>
    <w:rsid w:val="206951BF"/>
    <w:rsid w:val="20727C42"/>
    <w:rsid w:val="207417C9"/>
    <w:rsid w:val="207F7727"/>
    <w:rsid w:val="208A4B48"/>
    <w:rsid w:val="208D12D6"/>
    <w:rsid w:val="209266D2"/>
    <w:rsid w:val="20941B36"/>
    <w:rsid w:val="20943A35"/>
    <w:rsid w:val="209813CD"/>
    <w:rsid w:val="20A04BB5"/>
    <w:rsid w:val="20AC15EA"/>
    <w:rsid w:val="20AE3A2F"/>
    <w:rsid w:val="20BC7BDF"/>
    <w:rsid w:val="20C32A66"/>
    <w:rsid w:val="20E11079"/>
    <w:rsid w:val="20E51130"/>
    <w:rsid w:val="20E71161"/>
    <w:rsid w:val="20E87F3E"/>
    <w:rsid w:val="20F83B70"/>
    <w:rsid w:val="20F9519C"/>
    <w:rsid w:val="21014DBC"/>
    <w:rsid w:val="2101714D"/>
    <w:rsid w:val="210247C4"/>
    <w:rsid w:val="210303DE"/>
    <w:rsid w:val="210E23E4"/>
    <w:rsid w:val="210F15D3"/>
    <w:rsid w:val="210F2E0E"/>
    <w:rsid w:val="2110315B"/>
    <w:rsid w:val="21152291"/>
    <w:rsid w:val="211667C8"/>
    <w:rsid w:val="21173BB2"/>
    <w:rsid w:val="211A5AE2"/>
    <w:rsid w:val="2127472C"/>
    <w:rsid w:val="21324248"/>
    <w:rsid w:val="21355582"/>
    <w:rsid w:val="21373A31"/>
    <w:rsid w:val="21383F4B"/>
    <w:rsid w:val="21415A97"/>
    <w:rsid w:val="21431FAD"/>
    <w:rsid w:val="214877B3"/>
    <w:rsid w:val="214F53C7"/>
    <w:rsid w:val="215762FD"/>
    <w:rsid w:val="215B1E73"/>
    <w:rsid w:val="216420B8"/>
    <w:rsid w:val="216455CB"/>
    <w:rsid w:val="216B7821"/>
    <w:rsid w:val="216E0EB3"/>
    <w:rsid w:val="216E6218"/>
    <w:rsid w:val="21707B5F"/>
    <w:rsid w:val="21747CD2"/>
    <w:rsid w:val="21837335"/>
    <w:rsid w:val="21AB55AD"/>
    <w:rsid w:val="21BC5F0D"/>
    <w:rsid w:val="21BD35BB"/>
    <w:rsid w:val="21C347B6"/>
    <w:rsid w:val="21C807E2"/>
    <w:rsid w:val="21CB1872"/>
    <w:rsid w:val="21D73DBD"/>
    <w:rsid w:val="21DA1151"/>
    <w:rsid w:val="21E82409"/>
    <w:rsid w:val="21F037BA"/>
    <w:rsid w:val="21FA7F19"/>
    <w:rsid w:val="220F0880"/>
    <w:rsid w:val="220F1014"/>
    <w:rsid w:val="221308B4"/>
    <w:rsid w:val="222039B6"/>
    <w:rsid w:val="22242681"/>
    <w:rsid w:val="22263266"/>
    <w:rsid w:val="222E06E7"/>
    <w:rsid w:val="22336B52"/>
    <w:rsid w:val="22436092"/>
    <w:rsid w:val="22480A0C"/>
    <w:rsid w:val="225418B2"/>
    <w:rsid w:val="2254267F"/>
    <w:rsid w:val="22577970"/>
    <w:rsid w:val="227123D7"/>
    <w:rsid w:val="22746052"/>
    <w:rsid w:val="228E4492"/>
    <w:rsid w:val="22914A14"/>
    <w:rsid w:val="2299325D"/>
    <w:rsid w:val="229A3D0F"/>
    <w:rsid w:val="229C76D2"/>
    <w:rsid w:val="229D33E4"/>
    <w:rsid w:val="22AF6F91"/>
    <w:rsid w:val="22B83BEE"/>
    <w:rsid w:val="22BA2B7C"/>
    <w:rsid w:val="22C746A7"/>
    <w:rsid w:val="22C811EE"/>
    <w:rsid w:val="22D44A18"/>
    <w:rsid w:val="22D67251"/>
    <w:rsid w:val="22E156DE"/>
    <w:rsid w:val="22E50592"/>
    <w:rsid w:val="22E77334"/>
    <w:rsid w:val="22EF01D9"/>
    <w:rsid w:val="22EF60D6"/>
    <w:rsid w:val="22FB6E20"/>
    <w:rsid w:val="23051BCA"/>
    <w:rsid w:val="2309561C"/>
    <w:rsid w:val="230D6B74"/>
    <w:rsid w:val="230F6136"/>
    <w:rsid w:val="231F2D23"/>
    <w:rsid w:val="232E604F"/>
    <w:rsid w:val="23300170"/>
    <w:rsid w:val="233F2FBE"/>
    <w:rsid w:val="23401970"/>
    <w:rsid w:val="23413B6C"/>
    <w:rsid w:val="23501A8E"/>
    <w:rsid w:val="23593B9C"/>
    <w:rsid w:val="235A4DEB"/>
    <w:rsid w:val="23617684"/>
    <w:rsid w:val="236358A9"/>
    <w:rsid w:val="2366654B"/>
    <w:rsid w:val="236B66B9"/>
    <w:rsid w:val="237277F4"/>
    <w:rsid w:val="237D03EE"/>
    <w:rsid w:val="23854A21"/>
    <w:rsid w:val="238700C4"/>
    <w:rsid w:val="23890D81"/>
    <w:rsid w:val="238A2C64"/>
    <w:rsid w:val="238E4B88"/>
    <w:rsid w:val="23937BEB"/>
    <w:rsid w:val="23962CDE"/>
    <w:rsid w:val="23977CA8"/>
    <w:rsid w:val="23987969"/>
    <w:rsid w:val="239C0BF5"/>
    <w:rsid w:val="23AD7ADF"/>
    <w:rsid w:val="23AF0121"/>
    <w:rsid w:val="23BA5744"/>
    <w:rsid w:val="23C30A9D"/>
    <w:rsid w:val="23C60205"/>
    <w:rsid w:val="23D32A75"/>
    <w:rsid w:val="23D51026"/>
    <w:rsid w:val="23D762F6"/>
    <w:rsid w:val="23DB214E"/>
    <w:rsid w:val="23E0306C"/>
    <w:rsid w:val="23E6555C"/>
    <w:rsid w:val="23E91088"/>
    <w:rsid w:val="23EF7607"/>
    <w:rsid w:val="23F62428"/>
    <w:rsid w:val="23FE6C41"/>
    <w:rsid w:val="24047F34"/>
    <w:rsid w:val="240A0392"/>
    <w:rsid w:val="240A6427"/>
    <w:rsid w:val="241B77E2"/>
    <w:rsid w:val="24237C73"/>
    <w:rsid w:val="242449CA"/>
    <w:rsid w:val="24274F3B"/>
    <w:rsid w:val="242A6F5E"/>
    <w:rsid w:val="242D4168"/>
    <w:rsid w:val="24387078"/>
    <w:rsid w:val="243E034B"/>
    <w:rsid w:val="24480A64"/>
    <w:rsid w:val="24486790"/>
    <w:rsid w:val="244961BD"/>
    <w:rsid w:val="244B153B"/>
    <w:rsid w:val="24505082"/>
    <w:rsid w:val="24571715"/>
    <w:rsid w:val="245A5E32"/>
    <w:rsid w:val="245D1C22"/>
    <w:rsid w:val="24603BEF"/>
    <w:rsid w:val="246F2406"/>
    <w:rsid w:val="24731075"/>
    <w:rsid w:val="2476281D"/>
    <w:rsid w:val="24811B34"/>
    <w:rsid w:val="24826F08"/>
    <w:rsid w:val="24866705"/>
    <w:rsid w:val="24876A94"/>
    <w:rsid w:val="24894304"/>
    <w:rsid w:val="248A429E"/>
    <w:rsid w:val="24900F36"/>
    <w:rsid w:val="249447FB"/>
    <w:rsid w:val="24975A86"/>
    <w:rsid w:val="24A27A45"/>
    <w:rsid w:val="24A344B8"/>
    <w:rsid w:val="24A93201"/>
    <w:rsid w:val="24B12753"/>
    <w:rsid w:val="24B22F4B"/>
    <w:rsid w:val="24B44889"/>
    <w:rsid w:val="24B97C0F"/>
    <w:rsid w:val="24BF395D"/>
    <w:rsid w:val="24C37742"/>
    <w:rsid w:val="24C972F7"/>
    <w:rsid w:val="24CF6B1F"/>
    <w:rsid w:val="24EC4023"/>
    <w:rsid w:val="24EE0053"/>
    <w:rsid w:val="24FF778F"/>
    <w:rsid w:val="25007ACF"/>
    <w:rsid w:val="25085C19"/>
    <w:rsid w:val="250F02BC"/>
    <w:rsid w:val="25113CAD"/>
    <w:rsid w:val="25124600"/>
    <w:rsid w:val="251623C4"/>
    <w:rsid w:val="25182DF5"/>
    <w:rsid w:val="2518315F"/>
    <w:rsid w:val="251B6B41"/>
    <w:rsid w:val="251F6A4C"/>
    <w:rsid w:val="252D6405"/>
    <w:rsid w:val="25340883"/>
    <w:rsid w:val="25473008"/>
    <w:rsid w:val="254E006E"/>
    <w:rsid w:val="255206E5"/>
    <w:rsid w:val="25585705"/>
    <w:rsid w:val="2559683D"/>
    <w:rsid w:val="255A18A9"/>
    <w:rsid w:val="25653329"/>
    <w:rsid w:val="256C605F"/>
    <w:rsid w:val="256E0C5C"/>
    <w:rsid w:val="257638ED"/>
    <w:rsid w:val="257A7B6F"/>
    <w:rsid w:val="257B3718"/>
    <w:rsid w:val="257F3772"/>
    <w:rsid w:val="25824D08"/>
    <w:rsid w:val="25885EA6"/>
    <w:rsid w:val="259A11A5"/>
    <w:rsid w:val="259D50C3"/>
    <w:rsid w:val="25A14F8D"/>
    <w:rsid w:val="25A23239"/>
    <w:rsid w:val="25B425EA"/>
    <w:rsid w:val="25B72186"/>
    <w:rsid w:val="25BA0E2C"/>
    <w:rsid w:val="25C0050D"/>
    <w:rsid w:val="25C7239A"/>
    <w:rsid w:val="25C74801"/>
    <w:rsid w:val="25D40BBD"/>
    <w:rsid w:val="25D7082F"/>
    <w:rsid w:val="25DA2945"/>
    <w:rsid w:val="25DA4B85"/>
    <w:rsid w:val="25DF7A87"/>
    <w:rsid w:val="25E66E63"/>
    <w:rsid w:val="25EC3BAF"/>
    <w:rsid w:val="25EF30A7"/>
    <w:rsid w:val="25F33E81"/>
    <w:rsid w:val="25F62792"/>
    <w:rsid w:val="25F96D12"/>
    <w:rsid w:val="26023EB5"/>
    <w:rsid w:val="26097C28"/>
    <w:rsid w:val="260C7592"/>
    <w:rsid w:val="26175BAE"/>
    <w:rsid w:val="2620783C"/>
    <w:rsid w:val="26226590"/>
    <w:rsid w:val="26383C76"/>
    <w:rsid w:val="263F1045"/>
    <w:rsid w:val="26416C9B"/>
    <w:rsid w:val="26421900"/>
    <w:rsid w:val="26426917"/>
    <w:rsid w:val="2645620E"/>
    <w:rsid w:val="264C7724"/>
    <w:rsid w:val="265D38F8"/>
    <w:rsid w:val="265E24B4"/>
    <w:rsid w:val="266643EB"/>
    <w:rsid w:val="267315E2"/>
    <w:rsid w:val="26765178"/>
    <w:rsid w:val="267F28C4"/>
    <w:rsid w:val="268338C0"/>
    <w:rsid w:val="26852DD0"/>
    <w:rsid w:val="268A3AF4"/>
    <w:rsid w:val="268B33C8"/>
    <w:rsid w:val="268D14BC"/>
    <w:rsid w:val="268E67C9"/>
    <w:rsid w:val="269C55D7"/>
    <w:rsid w:val="269D0873"/>
    <w:rsid w:val="269E3E12"/>
    <w:rsid w:val="26A04B9F"/>
    <w:rsid w:val="26A11F18"/>
    <w:rsid w:val="26A62A21"/>
    <w:rsid w:val="26AD0C69"/>
    <w:rsid w:val="26B33F7C"/>
    <w:rsid w:val="26B91EE4"/>
    <w:rsid w:val="26BE351B"/>
    <w:rsid w:val="26C443F2"/>
    <w:rsid w:val="26CB774E"/>
    <w:rsid w:val="26DB7EAB"/>
    <w:rsid w:val="26E175D7"/>
    <w:rsid w:val="26E5668F"/>
    <w:rsid w:val="26E6412B"/>
    <w:rsid w:val="26E779B0"/>
    <w:rsid w:val="26E9439E"/>
    <w:rsid w:val="26EE4B6C"/>
    <w:rsid w:val="26F176CF"/>
    <w:rsid w:val="270513CC"/>
    <w:rsid w:val="27055EA6"/>
    <w:rsid w:val="27124005"/>
    <w:rsid w:val="271D4D48"/>
    <w:rsid w:val="27211496"/>
    <w:rsid w:val="272643D0"/>
    <w:rsid w:val="272A2F11"/>
    <w:rsid w:val="272B031F"/>
    <w:rsid w:val="2730022D"/>
    <w:rsid w:val="27392493"/>
    <w:rsid w:val="2739405C"/>
    <w:rsid w:val="273E1466"/>
    <w:rsid w:val="27442BF6"/>
    <w:rsid w:val="2745076B"/>
    <w:rsid w:val="274515B8"/>
    <w:rsid w:val="274B2157"/>
    <w:rsid w:val="275C01FE"/>
    <w:rsid w:val="27647DC8"/>
    <w:rsid w:val="2766766B"/>
    <w:rsid w:val="276D46FE"/>
    <w:rsid w:val="27822A1D"/>
    <w:rsid w:val="27855CD8"/>
    <w:rsid w:val="27870F66"/>
    <w:rsid w:val="27882851"/>
    <w:rsid w:val="278C295A"/>
    <w:rsid w:val="27911BD2"/>
    <w:rsid w:val="279369D8"/>
    <w:rsid w:val="279462AC"/>
    <w:rsid w:val="27963FF8"/>
    <w:rsid w:val="27A71AEF"/>
    <w:rsid w:val="27AB1969"/>
    <w:rsid w:val="27AC71ED"/>
    <w:rsid w:val="27BA7274"/>
    <w:rsid w:val="27C97F04"/>
    <w:rsid w:val="27CB288D"/>
    <w:rsid w:val="27D033D8"/>
    <w:rsid w:val="27D574B2"/>
    <w:rsid w:val="27DD2505"/>
    <w:rsid w:val="27DE5BE2"/>
    <w:rsid w:val="27DF39CB"/>
    <w:rsid w:val="27E67A01"/>
    <w:rsid w:val="27EE1E60"/>
    <w:rsid w:val="27F4062D"/>
    <w:rsid w:val="27F474AF"/>
    <w:rsid w:val="27FA1BBB"/>
    <w:rsid w:val="27FB704F"/>
    <w:rsid w:val="27FD57DC"/>
    <w:rsid w:val="28017754"/>
    <w:rsid w:val="28074CD0"/>
    <w:rsid w:val="2810400C"/>
    <w:rsid w:val="28152F65"/>
    <w:rsid w:val="281C4C20"/>
    <w:rsid w:val="282723EF"/>
    <w:rsid w:val="282B0208"/>
    <w:rsid w:val="282B4E63"/>
    <w:rsid w:val="282D6836"/>
    <w:rsid w:val="2837367F"/>
    <w:rsid w:val="28396477"/>
    <w:rsid w:val="283F65E6"/>
    <w:rsid w:val="28434E43"/>
    <w:rsid w:val="28454195"/>
    <w:rsid w:val="284D091F"/>
    <w:rsid w:val="284D28B3"/>
    <w:rsid w:val="284E28FF"/>
    <w:rsid w:val="2855572A"/>
    <w:rsid w:val="285D1634"/>
    <w:rsid w:val="28614F86"/>
    <w:rsid w:val="28750AAA"/>
    <w:rsid w:val="28771E56"/>
    <w:rsid w:val="28887BBF"/>
    <w:rsid w:val="288950AF"/>
    <w:rsid w:val="289268C5"/>
    <w:rsid w:val="289C398D"/>
    <w:rsid w:val="28A40771"/>
    <w:rsid w:val="28A83F2E"/>
    <w:rsid w:val="28AC5877"/>
    <w:rsid w:val="28B76F96"/>
    <w:rsid w:val="28BA4B77"/>
    <w:rsid w:val="28BC4AC0"/>
    <w:rsid w:val="28C94BC5"/>
    <w:rsid w:val="28CC79C0"/>
    <w:rsid w:val="28E27A18"/>
    <w:rsid w:val="28E33514"/>
    <w:rsid w:val="28E96817"/>
    <w:rsid w:val="28EA6818"/>
    <w:rsid w:val="290118AA"/>
    <w:rsid w:val="290F6532"/>
    <w:rsid w:val="29101A6E"/>
    <w:rsid w:val="291A029D"/>
    <w:rsid w:val="291C1BB4"/>
    <w:rsid w:val="291E2121"/>
    <w:rsid w:val="29233693"/>
    <w:rsid w:val="292755A8"/>
    <w:rsid w:val="292878A5"/>
    <w:rsid w:val="292D5AEF"/>
    <w:rsid w:val="292E5EDB"/>
    <w:rsid w:val="293974BB"/>
    <w:rsid w:val="293F42D7"/>
    <w:rsid w:val="29403DA9"/>
    <w:rsid w:val="295321C9"/>
    <w:rsid w:val="2953230C"/>
    <w:rsid w:val="29602B7A"/>
    <w:rsid w:val="29636D61"/>
    <w:rsid w:val="29646312"/>
    <w:rsid w:val="2964687E"/>
    <w:rsid w:val="29650807"/>
    <w:rsid w:val="29662A04"/>
    <w:rsid w:val="296A3769"/>
    <w:rsid w:val="296F2670"/>
    <w:rsid w:val="298917C9"/>
    <w:rsid w:val="299A1A74"/>
    <w:rsid w:val="299C5069"/>
    <w:rsid w:val="29A52698"/>
    <w:rsid w:val="29A701A6"/>
    <w:rsid w:val="29AF3AC9"/>
    <w:rsid w:val="29BB3EE7"/>
    <w:rsid w:val="29C136CD"/>
    <w:rsid w:val="29C56703"/>
    <w:rsid w:val="29C61FED"/>
    <w:rsid w:val="29CB6DC4"/>
    <w:rsid w:val="29D32AFF"/>
    <w:rsid w:val="29F512E1"/>
    <w:rsid w:val="29F5134D"/>
    <w:rsid w:val="29F55D64"/>
    <w:rsid w:val="2A022875"/>
    <w:rsid w:val="2A092EC2"/>
    <w:rsid w:val="2A0B194B"/>
    <w:rsid w:val="2A1F6D8E"/>
    <w:rsid w:val="2A2120BA"/>
    <w:rsid w:val="2A221A47"/>
    <w:rsid w:val="2A2878AC"/>
    <w:rsid w:val="2A2F59E2"/>
    <w:rsid w:val="2A3F46A5"/>
    <w:rsid w:val="2A420B23"/>
    <w:rsid w:val="2A46165D"/>
    <w:rsid w:val="2A486043"/>
    <w:rsid w:val="2A495750"/>
    <w:rsid w:val="2A517986"/>
    <w:rsid w:val="2A575267"/>
    <w:rsid w:val="2A61194A"/>
    <w:rsid w:val="2A642883"/>
    <w:rsid w:val="2A6B7798"/>
    <w:rsid w:val="2A71440D"/>
    <w:rsid w:val="2A822CE7"/>
    <w:rsid w:val="2A8829F5"/>
    <w:rsid w:val="2A8A7327"/>
    <w:rsid w:val="2AA41484"/>
    <w:rsid w:val="2AA614EB"/>
    <w:rsid w:val="2AAD6003"/>
    <w:rsid w:val="2AB03242"/>
    <w:rsid w:val="2AB376F7"/>
    <w:rsid w:val="2ABA06A2"/>
    <w:rsid w:val="2AC1385C"/>
    <w:rsid w:val="2AC4231F"/>
    <w:rsid w:val="2AC4281F"/>
    <w:rsid w:val="2AC6728D"/>
    <w:rsid w:val="2ACA2711"/>
    <w:rsid w:val="2ACC5D3C"/>
    <w:rsid w:val="2AD92954"/>
    <w:rsid w:val="2ADB45A1"/>
    <w:rsid w:val="2ADE2C81"/>
    <w:rsid w:val="2AE45711"/>
    <w:rsid w:val="2AE5397C"/>
    <w:rsid w:val="2AF30527"/>
    <w:rsid w:val="2AFB7BDA"/>
    <w:rsid w:val="2AFD664C"/>
    <w:rsid w:val="2B022877"/>
    <w:rsid w:val="2B032039"/>
    <w:rsid w:val="2B06518F"/>
    <w:rsid w:val="2B0B60E6"/>
    <w:rsid w:val="2B0E13FA"/>
    <w:rsid w:val="2B1479EF"/>
    <w:rsid w:val="2B18166F"/>
    <w:rsid w:val="2B1A3FAE"/>
    <w:rsid w:val="2B1A5326"/>
    <w:rsid w:val="2B2D3D53"/>
    <w:rsid w:val="2B3B0E2E"/>
    <w:rsid w:val="2B43032B"/>
    <w:rsid w:val="2B442F32"/>
    <w:rsid w:val="2B595710"/>
    <w:rsid w:val="2B5A7AF8"/>
    <w:rsid w:val="2B655DA5"/>
    <w:rsid w:val="2B6E5432"/>
    <w:rsid w:val="2B7168A5"/>
    <w:rsid w:val="2B765924"/>
    <w:rsid w:val="2B77763E"/>
    <w:rsid w:val="2B7C1CEC"/>
    <w:rsid w:val="2B81731F"/>
    <w:rsid w:val="2B9B5E5B"/>
    <w:rsid w:val="2BA02E43"/>
    <w:rsid w:val="2BA43B0F"/>
    <w:rsid w:val="2BA761AE"/>
    <w:rsid w:val="2BAB4E2F"/>
    <w:rsid w:val="2BC15C38"/>
    <w:rsid w:val="2BC30F95"/>
    <w:rsid w:val="2BD27D0D"/>
    <w:rsid w:val="2BDB26FC"/>
    <w:rsid w:val="2BDC2502"/>
    <w:rsid w:val="2BE767BB"/>
    <w:rsid w:val="2BEA70EF"/>
    <w:rsid w:val="2BF3630A"/>
    <w:rsid w:val="2BFA5602"/>
    <w:rsid w:val="2C00641A"/>
    <w:rsid w:val="2C025EDA"/>
    <w:rsid w:val="2C057779"/>
    <w:rsid w:val="2C0656F9"/>
    <w:rsid w:val="2C067303"/>
    <w:rsid w:val="2C13656E"/>
    <w:rsid w:val="2C146524"/>
    <w:rsid w:val="2C2157E9"/>
    <w:rsid w:val="2C31070E"/>
    <w:rsid w:val="2C3724A2"/>
    <w:rsid w:val="2C3F712F"/>
    <w:rsid w:val="2C422FF9"/>
    <w:rsid w:val="2C4416C6"/>
    <w:rsid w:val="2C443533"/>
    <w:rsid w:val="2C467E80"/>
    <w:rsid w:val="2C4B200D"/>
    <w:rsid w:val="2C4B7881"/>
    <w:rsid w:val="2C4C552E"/>
    <w:rsid w:val="2C4E3B66"/>
    <w:rsid w:val="2C6017BC"/>
    <w:rsid w:val="2C6E17C2"/>
    <w:rsid w:val="2C73502A"/>
    <w:rsid w:val="2C785CB9"/>
    <w:rsid w:val="2C8074EA"/>
    <w:rsid w:val="2C961D1A"/>
    <w:rsid w:val="2CA67E8A"/>
    <w:rsid w:val="2CB4477D"/>
    <w:rsid w:val="2CBE1EF1"/>
    <w:rsid w:val="2CC31AB6"/>
    <w:rsid w:val="2CC338BC"/>
    <w:rsid w:val="2CC73FC4"/>
    <w:rsid w:val="2CDA6E57"/>
    <w:rsid w:val="2CE16678"/>
    <w:rsid w:val="2CEB55AF"/>
    <w:rsid w:val="2CFB72D0"/>
    <w:rsid w:val="2D120AFF"/>
    <w:rsid w:val="2D1467DC"/>
    <w:rsid w:val="2D1933C8"/>
    <w:rsid w:val="2D205A30"/>
    <w:rsid w:val="2D2272B3"/>
    <w:rsid w:val="2D287472"/>
    <w:rsid w:val="2D290C2E"/>
    <w:rsid w:val="2D2F3244"/>
    <w:rsid w:val="2D320A41"/>
    <w:rsid w:val="2D3A727A"/>
    <w:rsid w:val="2D3F781E"/>
    <w:rsid w:val="2D4877B3"/>
    <w:rsid w:val="2D4F3EB1"/>
    <w:rsid w:val="2D6C5D01"/>
    <w:rsid w:val="2D6E62FB"/>
    <w:rsid w:val="2D6F759D"/>
    <w:rsid w:val="2D7A3055"/>
    <w:rsid w:val="2D800F4B"/>
    <w:rsid w:val="2D811081"/>
    <w:rsid w:val="2D920215"/>
    <w:rsid w:val="2D9E03EC"/>
    <w:rsid w:val="2DA90D03"/>
    <w:rsid w:val="2DB04802"/>
    <w:rsid w:val="2DB124BC"/>
    <w:rsid w:val="2DB41456"/>
    <w:rsid w:val="2DBA29FA"/>
    <w:rsid w:val="2DBE4083"/>
    <w:rsid w:val="2DCC6EF4"/>
    <w:rsid w:val="2DE017A3"/>
    <w:rsid w:val="2DE361B3"/>
    <w:rsid w:val="2DEF1C78"/>
    <w:rsid w:val="2DF5076C"/>
    <w:rsid w:val="2DFE5C95"/>
    <w:rsid w:val="2E0D5599"/>
    <w:rsid w:val="2E19498C"/>
    <w:rsid w:val="2E1B7727"/>
    <w:rsid w:val="2E1C6B06"/>
    <w:rsid w:val="2E1C7D99"/>
    <w:rsid w:val="2E252533"/>
    <w:rsid w:val="2E2969AF"/>
    <w:rsid w:val="2E2F3C35"/>
    <w:rsid w:val="2E3A73FF"/>
    <w:rsid w:val="2E3F7EEF"/>
    <w:rsid w:val="2E41326D"/>
    <w:rsid w:val="2E474D78"/>
    <w:rsid w:val="2E4A07BB"/>
    <w:rsid w:val="2E584A20"/>
    <w:rsid w:val="2E5C0575"/>
    <w:rsid w:val="2E650424"/>
    <w:rsid w:val="2E661150"/>
    <w:rsid w:val="2E7035CF"/>
    <w:rsid w:val="2E725DF6"/>
    <w:rsid w:val="2E731F17"/>
    <w:rsid w:val="2E846E87"/>
    <w:rsid w:val="2E8915A0"/>
    <w:rsid w:val="2E8B665B"/>
    <w:rsid w:val="2EA119DB"/>
    <w:rsid w:val="2EA35452"/>
    <w:rsid w:val="2EAE5979"/>
    <w:rsid w:val="2EAF62AC"/>
    <w:rsid w:val="2EB150BA"/>
    <w:rsid w:val="2ED85904"/>
    <w:rsid w:val="2EDE49DD"/>
    <w:rsid w:val="2EE47AE2"/>
    <w:rsid w:val="2EE644C3"/>
    <w:rsid w:val="2EEE72E6"/>
    <w:rsid w:val="2EF7771A"/>
    <w:rsid w:val="2F001394"/>
    <w:rsid w:val="2F005D92"/>
    <w:rsid w:val="2F021BC4"/>
    <w:rsid w:val="2F0A191D"/>
    <w:rsid w:val="2F0E5B10"/>
    <w:rsid w:val="2F186FDC"/>
    <w:rsid w:val="2F2465D4"/>
    <w:rsid w:val="2F251D87"/>
    <w:rsid w:val="2F2C2D8F"/>
    <w:rsid w:val="2F2F491A"/>
    <w:rsid w:val="2F333C00"/>
    <w:rsid w:val="2F5153AE"/>
    <w:rsid w:val="2F595C82"/>
    <w:rsid w:val="2F5A7DDB"/>
    <w:rsid w:val="2F5F442A"/>
    <w:rsid w:val="2F73504B"/>
    <w:rsid w:val="2F74170F"/>
    <w:rsid w:val="2F7B21C6"/>
    <w:rsid w:val="2F7B22CB"/>
    <w:rsid w:val="2F7D15C1"/>
    <w:rsid w:val="2F9B5E2C"/>
    <w:rsid w:val="2F9F2805"/>
    <w:rsid w:val="2FA34BF6"/>
    <w:rsid w:val="2FA42E9B"/>
    <w:rsid w:val="2FA63CB1"/>
    <w:rsid w:val="2FAE4ECA"/>
    <w:rsid w:val="2FB0396C"/>
    <w:rsid w:val="2FB76031"/>
    <w:rsid w:val="2FCC6E0B"/>
    <w:rsid w:val="2FCF3E4B"/>
    <w:rsid w:val="2FD11030"/>
    <w:rsid w:val="2FD142C7"/>
    <w:rsid w:val="2FD474ED"/>
    <w:rsid w:val="2FDB5B8B"/>
    <w:rsid w:val="2FDD225B"/>
    <w:rsid w:val="2FDE72BE"/>
    <w:rsid w:val="2FEA5BB5"/>
    <w:rsid w:val="2FF25212"/>
    <w:rsid w:val="2FF43D8C"/>
    <w:rsid w:val="2FF60C78"/>
    <w:rsid w:val="30006BD5"/>
    <w:rsid w:val="3002667D"/>
    <w:rsid w:val="30047793"/>
    <w:rsid w:val="300C42F8"/>
    <w:rsid w:val="300F499B"/>
    <w:rsid w:val="30144188"/>
    <w:rsid w:val="30183F1E"/>
    <w:rsid w:val="301D3B7F"/>
    <w:rsid w:val="301D7783"/>
    <w:rsid w:val="302937AF"/>
    <w:rsid w:val="30306342"/>
    <w:rsid w:val="3034062C"/>
    <w:rsid w:val="303B42C7"/>
    <w:rsid w:val="304629A5"/>
    <w:rsid w:val="304B42F4"/>
    <w:rsid w:val="304B43F3"/>
    <w:rsid w:val="304D548B"/>
    <w:rsid w:val="30505C26"/>
    <w:rsid w:val="30572D2A"/>
    <w:rsid w:val="305C7755"/>
    <w:rsid w:val="305E1C23"/>
    <w:rsid w:val="307473AF"/>
    <w:rsid w:val="30752893"/>
    <w:rsid w:val="307F5D4C"/>
    <w:rsid w:val="308D5537"/>
    <w:rsid w:val="308D6CBE"/>
    <w:rsid w:val="30907F59"/>
    <w:rsid w:val="309F19DA"/>
    <w:rsid w:val="30A16871"/>
    <w:rsid w:val="30A515B0"/>
    <w:rsid w:val="30AD4AA3"/>
    <w:rsid w:val="30AF4993"/>
    <w:rsid w:val="30B76B67"/>
    <w:rsid w:val="30C916BD"/>
    <w:rsid w:val="30F949FE"/>
    <w:rsid w:val="30FD39D4"/>
    <w:rsid w:val="310A032C"/>
    <w:rsid w:val="310D0430"/>
    <w:rsid w:val="31106F60"/>
    <w:rsid w:val="311216A8"/>
    <w:rsid w:val="311D060B"/>
    <w:rsid w:val="311D3FC6"/>
    <w:rsid w:val="3127393D"/>
    <w:rsid w:val="31344D88"/>
    <w:rsid w:val="31372E03"/>
    <w:rsid w:val="313E2344"/>
    <w:rsid w:val="314013B2"/>
    <w:rsid w:val="3140700A"/>
    <w:rsid w:val="314548D4"/>
    <w:rsid w:val="31490108"/>
    <w:rsid w:val="315656BD"/>
    <w:rsid w:val="31571F5E"/>
    <w:rsid w:val="31667D7C"/>
    <w:rsid w:val="316F3AAA"/>
    <w:rsid w:val="31745C10"/>
    <w:rsid w:val="31782873"/>
    <w:rsid w:val="317E3C06"/>
    <w:rsid w:val="31867875"/>
    <w:rsid w:val="318B68E5"/>
    <w:rsid w:val="318C7E64"/>
    <w:rsid w:val="319007F0"/>
    <w:rsid w:val="319500BC"/>
    <w:rsid w:val="31997BF8"/>
    <w:rsid w:val="319B121E"/>
    <w:rsid w:val="31A11CF2"/>
    <w:rsid w:val="31B21AA9"/>
    <w:rsid w:val="31B2739B"/>
    <w:rsid w:val="31B3103E"/>
    <w:rsid w:val="31B45EC9"/>
    <w:rsid w:val="31BB74A5"/>
    <w:rsid w:val="31C164B4"/>
    <w:rsid w:val="31C8723D"/>
    <w:rsid w:val="31DC3823"/>
    <w:rsid w:val="31E04AFC"/>
    <w:rsid w:val="31E14023"/>
    <w:rsid w:val="31E73825"/>
    <w:rsid w:val="31EC35D1"/>
    <w:rsid w:val="31ED0EB2"/>
    <w:rsid w:val="31F57C1F"/>
    <w:rsid w:val="31F975A5"/>
    <w:rsid w:val="320B094F"/>
    <w:rsid w:val="320B3A44"/>
    <w:rsid w:val="32105BDA"/>
    <w:rsid w:val="3212499D"/>
    <w:rsid w:val="321B5F48"/>
    <w:rsid w:val="321C3D1A"/>
    <w:rsid w:val="321D70C4"/>
    <w:rsid w:val="3220194C"/>
    <w:rsid w:val="32277317"/>
    <w:rsid w:val="32304997"/>
    <w:rsid w:val="32330D06"/>
    <w:rsid w:val="32385ACA"/>
    <w:rsid w:val="32673A67"/>
    <w:rsid w:val="326963DB"/>
    <w:rsid w:val="326B6AC4"/>
    <w:rsid w:val="326D026B"/>
    <w:rsid w:val="32764F2C"/>
    <w:rsid w:val="328061A3"/>
    <w:rsid w:val="328B0A93"/>
    <w:rsid w:val="328C36AE"/>
    <w:rsid w:val="32964A96"/>
    <w:rsid w:val="329B53EC"/>
    <w:rsid w:val="32A464FC"/>
    <w:rsid w:val="32A61DC7"/>
    <w:rsid w:val="32AF76E5"/>
    <w:rsid w:val="32B87D10"/>
    <w:rsid w:val="32BE6304"/>
    <w:rsid w:val="32C1790B"/>
    <w:rsid w:val="32D94C0C"/>
    <w:rsid w:val="32F753FA"/>
    <w:rsid w:val="33016EEC"/>
    <w:rsid w:val="330C6F62"/>
    <w:rsid w:val="331032F0"/>
    <w:rsid w:val="331323A8"/>
    <w:rsid w:val="331C1F78"/>
    <w:rsid w:val="33203F94"/>
    <w:rsid w:val="33254FB4"/>
    <w:rsid w:val="332E7CAB"/>
    <w:rsid w:val="33304009"/>
    <w:rsid w:val="3346489C"/>
    <w:rsid w:val="33466049"/>
    <w:rsid w:val="33471386"/>
    <w:rsid w:val="334F75E1"/>
    <w:rsid w:val="335309B0"/>
    <w:rsid w:val="335A0414"/>
    <w:rsid w:val="335A1EFB"/>
    <w:rsid w:val="33651B6C"/>
    <w:rsid w:val="3376556C"/>
    <w:rsid w:val="33767D4C"/>
    <w:rsid w:val="337D4BEA"/>
    <w:rsid w:val="338908F6"/>
    <w:rsid w:val="338C5A18"/>
    <w:rsid w:val="338C6985"/>
    <w:rsid w:val="338D69D1"/>
    <w:rsid w:val="338F0013"/>
    <w:rsid w:val="338F3D1E"/>
    <w:rsid w:val="339A5F76"/>
    <w:rsid w:val="33A45AC9"/>
    <w:rsid w:val="33B268D4"/>
    <w:rsid w:val="33C21728"/>
    <w:rsid w:val="33C7382C"/>
    <w:rsid w:val="33CF0D98"/>
    <w:rsid w:val="33D403CA"/>
    <w:rsid w:val="33DE0BA5"/>
    <w:rsid w:val="33E90D76"/>
    <w:rsid w:val="33F557A9"/>
    <w:rsid w:val="34054F23"/>
    <w:rsid w:val="34093B68"/>
    <w:rsid w:val="340A5285"/>
    <w:rsid w:val="3417202C"/>
    <w:rsid w:val="342148B8"/>
    <w:rsid w:val="34251378"/>
    <w:rsid w:val="343230D5"/>
    <w:rsid w:val="34381D95"/>
    <w:rsid w:val="34413D71"/>
    <w:rsid w:val="344235DD"/>
    <w:rsid w:val="3443358A"/>
    <w:rsid w:val="344370A7"/>
    <w:rsid w:val="344D3963"/>
    <w:rsid w:val="34542FC9"/>
    <w:rsid w:val="346301EA"/>
    <w:rsid w:val="346532EE"/>
    <w:rsid w:val="346761C1"/>
    <w:rsid w:val="346B59CA"/>
    <w:rsid w:val="346E6080"/>
    <w:rsid w:val="346F257B"/>
    <w:rsid w:val="347459D9"/>
    <w:rsid w:val="347E22EB"/>
    <w:rsid w:val="3486564F"/>
    <w:rsid w:val="348A00B1"/>
    <w:rsid w:val="349124F1"/>
    <w:rsid w:val="34914EAF"/>
    <w:rsid w:val="349B4D1A"/>
    <w:rsid w:val="349C5381"/>
    <w:rsid w:val="34A2728C"/>
    <w:rsid w:val="34A302A6"/>
    <w:rsid w:val="34AB1EE5"/>
    <w:rsid w:val="34C0343E"/>
    <w:rsid w:val="34C04B85"/>
    <w:rsid w:val="34C71375"/>
    <w:rsid w:val="34C87BF4"/>
    <w:rsid w:val="34CD2F26"/>
    <w:rsid w:val="34D758D9"/>
    <w:rsid w:val="34DC29A6"/>
    <w:rsid w:val="34DE6E5D"/>
    <w:rsid w:val="34DF14AF"/>
    <w:rsid w:val="34DF2F1B"/>
    <w:rsid w:val="34E72111"/>
    <w:rsid w:val="34E83345"/>
    <w:rsid w:val="34EA5979"/>
    <w:rsid w:val="34EF1949"/>
    <w:rsid w:val="34FC7F18"/>
    <w:rsid w:val="34FF1105"/>
    <w:rsid w:val="34FF5905"/>
    <w:rsid w:val="351163CC"/>
    <w:rsid w:val="3514273D"/>
    <w:rsid w:val="35154ED0"/>
    <w:rsid w:val="351F0C34"/>
    <w:rsid w:val="352E1BAF"/>
    <w:rsid w:val="35302B30"/>
    <w:rsid w:val="353B0A23"/>
    <w:rsid w:val="353B625D"/>
    <w:rsid w:val="354457B6"/>
    <w:rsid w:val="354663FF"/>
    <w:rsid w:val="35467CA6"/>
    <w:rsid w:val="354B6B44"/>
    <w:rsid w:val="354F6C68"/>
    <w:rsid w:val="35547F7C"/>
    <w:rsid w:val="35586321"/>
    <w:rsid w:val="355A28E3"/>
    <w:rsid w:val="355D635D"/>
    <w:rsid w:val="3563018F"/>
    <w:rsid w:val="35664FEE"/>
    <w:rsid w:val="356C7CAA"/>
    <w:rsid w:val="358245BC"/>
    <w:rsid w:val="358856A2"/>
    <w:rsid w:val="358B44BB"/>
    <w:rsid w:val="35997CA9"/>
    <w:rsid w:val="359A2BF7"/>
    <w:rsid w:val="359B0DB9"/>
    <w:rsid w:val="359B141C"/>
    <w:rsid w:val="359D7C24"/>
    <w:rsid w:val="359F04D8"/>
    <w:rsid w:val="35A6283E"/>
    <w:rsid w:val="35A655B2"/>
    <w:rsid w:val="35A71B59"/>
    <w:rsid w:val="35A97C58"/>
    <w:rsid w:val="35AB2470"/>
    <w:rsid w:val="35B04527"/>
    <w:rsid w:val="35B75F88"/>
    <w:rsid w:val="35B93785"/>
    <w:rsid w:val="35BE7316"/>
    <w:rsid w:val="35C10082"/>
    <w:rsid w:val="35C10BFC"/>
    <w:rsid w:val="35CB1ED4"/>
    <w:rsid w:val="35DA67A9"/>
    <w:rsid w:val="35E73768"/>
    <w:rsid w:val="35ED2A69"/>
    <w:rsid w:val="35EF4EDE"/>
    <w:rsid w:val="35F36A87"/>
    <w:rsid w:val="35F556D3"/>
    <w:rsid w:val="35F86D1B"/>
    <w:rsid w:val="35FB10DF"/>
    <w:rsid w:val="35FE4768"/>
    <w:rsid w:val="36061ACD"/>
    <w:rsid w:val="360A79CD"/>
    <w:rsid w:val="360C3BA4"/>
    <w:rsid w:val="36141E1B"/>
    <w:rsid w:val="36194006"/>
    <w:rsid w:val="36242162"/>
    <w:rsid w:val="36273E27"/>
    <w:rsid w:val="362D4A25"/>
    <w:rsid w:val="363277AD"/>
    <w:rsid w:val="363B1FDB"/>
    <w:rsid w:val="36470927"/>
    <w:rsid w:val="364B3961"/>
    <w:rsid w:val="364E7466"/>
    <w:rsid w:val="36511F38"/>
    <w:rsid w:val="365D28C8"/>
    <w:rsid w:val="366351F5"/>
    <w:rsid w:val="36646B60"/>
    <w:rsid w:val="36660542"/>
    <w:rsid w:val="366F23BE"/>
    <w:rsid w:val="36714925"/>
    <w:rsid w:val="367E2CAE"/>
    <w:rsid w:val="368B6F0A"/>
    <w:rsid w:val="369252AF"/>
    <w:rsid w:val="36935E25"/>
    <w:rsid w:val="369F2BF5"/>
    <w:rsid w:val="36AC5F41"/>
    <w:rsid w:val="36BF0387"/>
    <w:rsid w:val="36C425D4"/>
    <w:rsid w:val="36D00CB7"/>
    <w:rsid w:val="36D43BEF"/>
    <w:rsid w:val="36DF4EEE"/>
    <w:rsid w:val="36E94E15"/>
    <w:rsid w:val="36EC3A88"/>
    <w:rsid w:val="37070849"/>
    <w:rsid w:val="37076156"/>
    <w:rsid w:val="370A6914"/>
    <w:rsid w:val="370F38F6"/>
    <w:rsid w:val="37270249"/>
    <w:rsid w:val="3734469C"/>
    <w:rsid w:val="373516D7"/>
    <w:rsid w:val="373C1454"/>
    <w:rsid w:val="37403E0B"/>
    <w:rsid w:val="37455AF1"/>
    <w:rsid w:val="37490753"/>
    <w:rsid w:val="374D6B56"/>
    <w:rsid w:val="374F66D3"/>
    <w:rsid w:val="375E78FE"/>
    <w:rsid w:val="37695624"/>
    <w:rsid w:val="376D18B1"/>
    <w:rsid w:val="37725534"/>
    <w:rsid w:val="37750ED5"/>
    <w:rsid w:val="377670BA"/>
    <w:rsid w:val="37781C9B"/>
    <w:rsid w:val="377D5FFB"/>
    <w:rsid w:val="37922808"/>
    <w:rsid w:val="37983DED"/>
    <w:rsid w:val="379F6FFD"/>
    <w:rsid w:val="37A24C6D"/>
    <w:rsid w:val="37A754B5"/>
    <w:rsid w:val="37B63C23"/>
    <w:rsid w:val="37BC1ADE"/>
    <w:rsid w:val="37EF7B0D"/>
    <w:rsid w:val="37F12135"/>
    <w:rsid w:val="37F83205"/>
    <w:rsid w:val="37FD4FD8"/>
    <w:rsid w:val="37FF447C"/>
    <w:rsid w:val="38046A31"/>
    <w:rsid w:val="380529A2"/>
    <w:rsid w:val="3807657F"/>
    <w:rsid w:val="380D6E5C"/>
    <w:rsid w:val="38137CF2"/>
    <w:rsid w:val="381C17A0"/>
    <w:rsid w:val="38222F60"/>
    <w:rsid w:val="38264762"/>
    <w:rsid w:val="38286CC9"/>
    <w:rsid w:val="383D2DEA"/>
    <w:rsid w:val="3847161C"/>
    <w:rsid w:val="384A19AB"/>
    <w:rsid w:val="38587E33"/>
    <w:rsid w:val="385D1357"/>
    <w:rsid w:val="38671CBD"/>
    <w:rsid w:val="386A4F1E"/>
    <w:rsid w:val="387939C8"/>
    <w:rsid w:val="387F30AB"/>
    <w:rsid w:val="38852ECA"/>
    <w:rsid w:val="38910062"/>
    <w:rsid w:val="38916B40"/>
    <w:rsid w:val="38950932"/>
    <w:rsid w:val="38976EE6"/>
    <w:rsid w:val="389B6088"/>
    <w:rsid w:val="38AC16A8"/>
    <w:rsid w:val="38AC66A4"/>
    <w:rsid w:val="38AE5AFA"/>
    <w:rsid w:val="38B245A7"/>
    <w:rsid w:val="38B433B0"/>
    <w:rsid w:val="38B466B9"/>
    <w:rsid w:val="38C02BCE"/>
    <w:rsid w:val="38C05153"/>
    <w:rsid w:val="38C9213F"/>
    <w:rsid w:val="38CA7E35"/>
    <w:rsid w:val="38D2074B"/>
    <w:rsid w:val="38D92FB7"/>
    <w:rsid w:val="38DA3626"/>
    <w:rsid w:val="38DD3E5D"/>
    <w:rsid w:val="38DE002A"/>
    <w:rsid w:val="38DF7CCF"/>
    <w:rsid w:val="38E01A74"/>
    <w:rsid w:val="38E54549"/>
    <w:rsid w:val="38EA2F49"/>
    <w:rsid w:val="38EC0B9C"/>
    <w:rsid w:val="38F010AC"/>
    <w:rsid w:val="390877E8"/>
    <w:rsid w:val="390C65EA"/>
    <w:rsid w:val="390E7FA9"/>
    <w:rsid w:val="391202CC"/>
    <w:rsid w:val="391577FE"/>
    <w:rsid w:val="391C7375"/>
    <w:rsid w:val="394F5519"/>
    <w:rsid w:val="39586839"/>
    <w:rsid w:val="395D08AC"/>
    <w:rsid w:val="39691347"/>
    <w:rsid w:val="396A3A99"/>
    <w:rsid w:val="3972058E"/>
    <w:rsid w:val="398A2C82"/>
    <w:rsid w:val="398E04B1"/>
    <w:rsid w:val="399A2E06"/>
    <w:rsid w:val="39A3599E"/>
    <w:rsid w:val="39AD285E"/>
    <w:rsid w:val="39AD78D6"/>
    <w:rsid w:val="39AF02B5"/>
    <w:rsid w:val="39B134AB"/>
    <w:rsid w:val="39B36D67"/>
    <w:rsid w:val="39BC7CF6"/>
    <w:rsid w:val="39C34847"/>
    <w:rsid w:val="39CC6A88"/>
    <w:rsid w:val="39CF372B"/>
    <w:rsid w:val="39D141AC"/>
    <w:rsid w:val="39DA5994"/>
    <w:rsid w:val="39E25DC7"/>
    <w:rsid w:val="39EB6DB6"/>
    <w:rsid w:val="39F51B09"/>
    <w:rsid w:val="3A0E5740"/>
    <w:rsid w:val="3A135D72"/>
    <w:rsid w:val="3A163EAA"/>
    <w:rsid w:val="3A237AF5"/>
    <w:rsid w:val="3A2F0FFB"/>
    <w:rsid w:val="3A3D3950"/>
    <w:rsid w:val="3A3F02FA"/>
    <w:rsid w:val="3A4100FC"/>
    <w:rsid w:val="3A410AB2"/>
    <w:rsid w:val="3A4A5A95"/>
    <w:rsid w:val="3A4F082F"/>
    <w:rsid w:val="3A505924"/>
    <w:rsid w:val="3A5847E3"/>
    <w:rsid w:val="3A587B8C"/>
    <w:rsid w:val="3A5E6CA5"/>
    <w:rsid w:val="3A620DD9"/>
    <w:rsid w:val="3A6E7E53"/>
    <w:rsid w:val="3A7F27CD"/>
    <w:rsid w:val="3A80103E"/>
    <w:rsid w:val="3A811B8E"/>
    <w:rsid w:val="3A851ADA"/>
    <w:rsid w:val="3A9B6E39"/>
    <w:rsid w:val="3A9F2E3C"/>
    <w:rsid w:val="3AAA0B24"/>
    <w:rsid w:val="3AAA1C17"/>
    <w:rsid w:val="3AAE4935"/>
    <w:rsid w:val="3AB24F6F"/>
    <w:rsid w:val="3AB807D8"/>
    <w:rsid w:val="3AC10849"/>
    <w:rsid w:val="3AC61D7C"/>
    <w:rsid w:val="3AC95655"/>
    <w:rsid w:val="3ACB67A4"/>
    <w:rsid w:val="3ACC0C5A"/>
    <w:rsid w:val="3AD6257C"/>
    <w:rsid w:val="3AE51D5E"/>
    <w:rsid w:val="3AE60026"/>
    <w:rsid w:val="3AE93861"/>
    <w:rsid w:val="3AEF3110"/>
    <w:rsid w:val="3AF13E25"/>
    <w:rsid w:val="3AFE7CBE"/>
    <w:rsid w:val="3B01388B"/>
    <w:rsid w:val="3B0E7005"/>
    <w:rsid w:val="3B13079E"/>
    <w:rsid w:val="3B190706"/>
    <w:rsid w:val="3B295232"/>
    <w:rsid w:val="3B296B23"/>
    <w:rsid w:val="3B300A51"/>
    <w:rsid w:val="3B40562F"/>
    <w:rsid w:val="3B480DDE"/>
    <w:rsid w:val="3B4D65FF"/>
    <w:rsid w:val="3B4E603B"/>
    <w:rsid w:val="3B4F0A10"/>
    <w:rsid w:val="3B53405D"/>
    <w:rsid w:val="3B5F4C79"/>
    <w:rsid w:val="3B5F6EA5"/>
    <w:rsid w:val="3B60075F"/>
    <w:rsid w:val="3B783AC3"/>
    <w:rsid w:val="3B7B68C1"/>
    <w:rsid w:val="3B877974"/>
    <w:rsid w:val="3B9746C6"/>
    <w:rsid w:val="3BA448B8"/>
    <w:rsid w:val="3BA86716"/>
    <w:rsid w:val="3BAD587D"/>
    <w:rsid w:val="3BB13E93"/>
    <w:rsid w:val="3BC817C7"/>
    <w:rsid w:val="3BD31641"/>
    <w:rsid w:val="3BE14248"/>
    <w:rsid w:val="3BE41A4E"/>
    <w:rsid w:val="3BEE7F61"/>
    <w:rsid w:val="3BF118A2"/>
    <w:rsid w:val="3BF46877"/>
    <w:rsid w:val="3BFD031E"/>
    <w:rsid w:val="3BFE71A0"/>
    <w:rsid w:val="3C023D3C"/>
    <w:rsid w:val="3C0438AD"/>
    <w:rsid w:val="3C0608D2"/>
    <w:rsid w:val="3C07344B"/>
    <w:rsid w:val="3C155A06"/>
    <w:rsid w:val="3C163E0E"/>
    <w:rsid w:val="3C243C4B"/>
    <w:rsid w:val="3C2625E4"/>
    <w:rsid w:val="3C266211"/>
    <w:rsid w:val="3C30439E"/>
    <w:rsid w:val="3C325900"/>
    <w:rsid w:val="3C39228F"/>
    <w:rsid w:val="3C3C515E"/>
    <w:rsid w:val="3C430575"/>
    <w:rsid w:val="3C436367"/>
    <w:rsid w:val="3C4C0120"/>
    <w:rsid w:val="3C551F17"/>
    <w:rsid w:val="3C696F19"/>
    <w:rsid w:val="3C6D23B4"/>
    <w:rsid w:val="3C71313B"/>
    <w:rsid w:val="3C751925"/>
    <w:rsid w:val="3C764D30"/>
    <w:rsid w:val="3C7A1ABD"/>
    <w:rsid w:val="3C7B315E"/>
    <w:rsid w:val="3C8050D5"/>
    <w:rsid w:val="3C835A6F"/>
    <w:rsid w:val="3C883F7E"/>
    <w:rsid w:val="3C8A52B9"/>
    <w:rsid w:val="3C90119C"/>
    <w:rsid w:val="3C9678A6"/>
    <w:rsid w:val="3C9E1A9B"/>
    <w:rsid w:val="3CAA44E1"/>
    <w:rsid w:val="3CAC16F4"/>
    <w:rsid w:val="3CB006E9"/>
    <w:rsid w:val="3CBD11E2"/>
    <w:rsid w:val="3CC0338E"/>
    <w:rsid w:val="3CC65D3D"/>
    <w:rsid w:val="3CC82828"/>
    <w:rsid w:val="3CD10A8F"/>
    <w:rsid w:val="3CEA1E05"/>
    <w:rsid w:val="3CF139AD"/>
    <w:rsid w:val="3CFE7F9C"/>
    <w:rsid w:val="3CFF1475"/>
    <w:rsid w:val="3D0C3137"/>
    <w:rsid w:val="3D0D448A"/>
    <w:rsid w:val="3D146A5E"/>
    <w:rsid w:val="3D2D2B70"/>
    <w:rsid w:val="3D3303B7"/>
    <w:rsid w:val="3D333A19"/>
    <w:rsid w:val="3D341D34"/>
    <w:rsid w:val="3D383557"/>
    <w:rsid w:val="3D386D13"/>
    <w:rsid w:val="3D3D5429"/>
    <w:rsid w:val="3D4520CB"/>
    <w:rsid w:val="3D4B11DE"/>
    <w:rsid w:val="3D4D07B9"/>
    <w:rsid w:val="3D4F4212"/>
    <w:rsid w:val="3D503F10"/>
    <w:rsid w:val="3D6167DA"/>
    <w:rsid w:val="3D703859"/>
    <w:rsid w:val="3D706CAB"/>
    <w:rsid w:val="3D736C38"/>
    <w:rsid w:val="3D786CDC"/>
    <w:rsid w:val="3D7A01B7"/>
    <w:rsid w:val="3D8C4C6A"/>
    <w:rsid w:val="3D8E1F87"/>
    <w:rsid w:val="3D9449F0"/>
    <w:rsid w:val="3D9D114F"/>
    <w:rsid w:val="3DA001E5"/>
    <w:rsid w:val="3DA5523D"/>
    <w:rsid w:val="3DA60625"/>
    <w:rsid w:val="3DA80AEB"/>
    <w:rsid w:val="3DBF1E7D"/>
    <w:rsid w:val="3DC079A3"/>
    <w:rsid w:val="3DC84786"/>
    <w:rsid w:val="3DCC529D"/>
    <w:rsid w:val="3DCE3E6E"/>
    <w:rsid w:val="3DD9192B"/>
    <w:rsid w:val="3DE14F92"/>
    <w:rsid w:val="3E0B523A"/>
    <w:rsid w:val="3E11020C"/>
    <w:rsid w:val="3E1675C3"/>
    <w:rsid w:val="3E180684"/>
    <w:rsid w:val="3E23239B"/>
    <w:rsid w:val="3E2919ED"/>
    <w:rsid w:val="3E333ADD"/>
    <w:rsid w:val="3E3361E0"/>
    <w:rsid w:val="3E345B94"/>
    <w:rsid w:val="3E3A729E"/>
    <w:rsid w:val="3E3E2608"/>
    <w:rsid w:val="3E402807"/>
    <w:rsid w:val="3E40775D"/>
    <w:rsid w:val="3E435E58"/>
    <w:rsid w:val="3E5F71BC"/>
    <w:rsid w:val="3E6C043A"/>
    <w:rsid w:val="3E6D3CF9"/>
    <w:rsid w:val="3E6D7166"/>
    <w:rsid w:val="3E746BD7"/>
    <w:rsid w:val="3E764598"/>
    <w:rsid w:val="3E806FB0"/>
    <w:rsid w:val="3E912675"/>
    <w:rsid w:val="3E9348A0"/>
    <w:rsid w:val="3E993B9F"/>
    <w:rsid w:val="3E9F07C2"/>
    <w:rsid w:val="3EAC7B13"/>
    <w:rsid w:val="3EAF2D9D"/>
    <w:rsid w:val="3EB72C01"/>
    <w:rsid w:val="3EBB407B"/>
    <w:rsid w:val="3ED45028"/>
    <w:rsid w:val="3EDB2319"/>
    <w:rsid w:val="3EE040C3"/>
    <w:rsid w:val="3EE54D66"/>
    <w:rsid w:val="3EEF52A5"/>
    <w:rsid w:val="3EF0751E"/>
    <w:rsid w:val="3EFB31AB"/>
    <w:rsid w:val="3EFF489D"/>
    <w:rsid w:val="3F002817"/>
    <w:rsid w:val="3F0F3753"/>
    <w:rsid w:val="3F106414"/>
    <w:rsid w:val="3F144F2B"/>
    <w:rsid w:val="3F1652EA"/>
    <w:rsid w:val="3F266695"/>
    <w:rsid w:val="3F312DC3"/>
    <w:rsid w:val="3F4130D9"/>
    <w:rsid w:val="3F58125A"/>
    <w:rsid w:val="3F5E1CE0"/>
    <w:rsid w:val="3F636838"/>
    <w:rsid w:val="3F6525B0"/>
    <w:rsid w:val="3F6A76A9"/>
    <w:rsid w:val="3F6B410C"/>
    <w:rsid w:val="3F6E031C"/>
    <w:rsid w:val="3F760C61"/>
    <w:rsid w:val="3F882FD6"/>
    <w:rsid w:val="3F8E7502"/>
    <w:rsid w:val="3F95043D"/>
    <w:rsid w:val="3F953F78"/>
    <w:rsid w:val="3F975234"/>
    <w:rsid w:val="3F9C0057"/>
    <w:rsid w:val="3FA470F8"/>
    <w:rsid w:val="3FAE3FC8"/>
    <w:rsid w:val="3FAE4156"/>
    <w:rsid w:val="3FB147CB"/>
    <w:rsid w:val="3FB22EAF"/>
    <w:rsid w:val="3FBB3A33"/>
    <w:rsid w:val="3FBE3957"/>
    <w:rsid w:val="3FBE6B1C"/>
    <w:rsid w:val="3FC40EFB"/>
    <w:rsid w:val="3FC957D2"/>
    <w:rsid w:val="3FCE0046"/>
    <w:rsid w:val="3FD46E9D"/>
    <w:rsid w:val="3FD85DB8"/>
    <w:rsid w:val="3FE05B83"/>
    <w:rsid w:val="3FE1257F"/>
    <w:rsid w:val="3FE4689F"/>
    <w:rsid w:val="3FE6660D"/>
    <w:rsid w:val="3FE71217"/>
    <w:rsid w:val="3FEA0E44"/>
    <w:rsid w:val="3FEC06CC"/>
    <w:rsid w:val="3FF1653A"/>
    <w:rsid w:val="3FF82B89"/>
    <w:rsid w:val="3FFD6F07"/>
    <w:rsid w:val="400022D9"/>
    <w:rsid w:val="40047C86"/>
    <w:rsid w:val="400964F0"/>
    <w:rsid w:val="400A07E6"/>
    <w:rsid w:val="40142A34"/>
    <w:rsid w:val="40187039"/>
    <w:rsid w:val="40291765"/>
    <w:rsid w:val="402C2CDE"/>
    <w:rsid w:val="40384884"/>
    <w:rsid w:val="403B2097"/>
    <w:rsid w:val="403D515E"/>
    <w:rsid w:val="40455C52"/>
    <w:rsid w:val="404972FC"/>
    <w:rsid w:val="404C6316"/>
    <w:rsid w:val="40565096"/>
    <w:rsid w:val="407567DE"/>
    <w:rsid w:val="40772EC2"/>
    <w:rsid w:val="4079357A"/>
    <w:rsid w:val="40837DD9"/>
    <w:rsid w:val="40844F5C"/>
    <w:rsid w:val="408466A2"/>
    <w:rsid w:val="4086721E"/>
    <w:rsid w:val="4089067B"/>
    <w:rsid w:val="408F1145"/>
    <w:rsid w:val="40905D53"/>
    <w:rsid w:val="4093314D"/>
    <w:rsid w:val="40971738"/>
    <w:rsid w:val="409F3685"/>
    <w:rsid w:val="40BB3189"/>
    <w:rsid w:val="40C05129"/>
    <w:rsid w:val="40C23AE7"/>
    <w:rsid w:val="40C77663"/>
    <w:rsid w:val="40DC0A64"/>
    <w:rsid w:val="40E462CD"/>
    <w:rsid w:val="40E622BF"/>
    <w:rsid w:val="40F34397"/>
    <w:rsid w:val="41001F84"/>
    <w:rsid w:val="41026132"/>
    <w:rsid w:val="41037C2D"/>
    <w:rsid w:val="41175B2C"/>
    <w:rsid w:val="411B386E"/>
    <w:rsid w:val="411D0E58"/>
    <w:rsid w:val="411E27EA"/>
    <w:rsid w:val="41230975"/>
    <w:rsid w:val="41524F6A"/>
    <w:rsid w:val="41585DE4"/>
    <w:rsid w:val="415B1EBD"/>
    <w:rsid w:val="416567D4"/>
    <w:rsid w:val="41735459"/>
    <w:rsid w:val="41737C53"/>
    <w:rsid w:val="41774830"/>
    <w:rsid w:val="418438B4"/>
    <w:rsid w:val="41885210"/>
    <w:rsid w:val="41886A2A"/>
    <w:rsid w:val="419134F7"/>
    <w:rsid w:val="4194717D"/>
    <w:rsid w:val="419B167C"/>
    <w:rsid w:val="419E1F68"/>
    <w:rsid w:val="41A0463B"/>
    <w:rsid w:val="41A07C65"/>
    <w:rsid w:val="41A25305"/>
    <w:rsid w:val="41BA1E6A"/>
    <w:rsid w:val="41C05DCB"/>
    <w:rsid w:val="41C22915"/>
    <w:rsid w:val="41C71300"/>
    <w:rsid w:val="41DA54A0"/>
    <w:rsid w:val="41DE037B"/>
    <w:rsid w:val="41DE059C"/>
    <w:rsid w:val="41DF0007"/>
    <w:rsid w:val="41E01C04"/>
    <w:rsid w:val="41E023C2"/>
    <w:rsid w:val="41E3736D"/>
    <w:rsid w:val="41E854DA"/>
    <w:rsid w:val="41FA38BC"/>
    <w:rsid w:val="41FD48CB"/>
    <w:rsid w:val="41FE022B"/>
    <w:rsid w:val="420341CE"/>
    <w:rsid w:val="420426BD"/>
    <w:rsid w:val="420531A6"/>
    <w:rsid w:val="42153AC9"/>
    <w:rsid w:val="421B00E0"/>
    <w:rsid w:val="421F738E"/>
    <w:rsid w:val="4226357D"/>
    <w:rsid w:val="42264195"/>
    <w:rsid w:val="42270922"/>
    <w:rsid w:val="422E5D1B"/>
    <w:rsid w:val="423050F8"/>
    <w:rsid w:val="423219E0"/>
    <w:rsid w:val="42490003"/>
    <w:rsid w:val="424A629E"/>
    <w:rsid w:val="424C7A58"/>
    <w:rsid w:val="424D58AF"/>
    <w:rsid w:val="424E2FBB"/>
    <w:rsid w:val="42546537"/>
    <w:rsid w:val="425C20AF"/>
    <w:rsid w:val="425C5E96"/>
    <w:rsid w:val="42662F50"/>
    <w:rsid w:val="426B0549"/>
    <w:rsid w:val="426C1EA8"/>
    <w:rsid w:val="427A6373"/>
    <w:rsid w:val="427E2EB0"/>
    <w:rsid w:val="428A3057"/>
    <w:rsid w:val="42923B7D"/>
    <w:rsid w:val="42970B16"/>
    <w:rsid w:val="429D6327"/>
    <w:rsid w:val="42A15020"/>
    <w:rsid w:val="42AB52DC"/>
    <w:rsid w:val="42B06CE9"/>
    <w:rsid w:val="42C1494C"/>
    <w:rsid w:val="42C353F2"/>
    <w:rsid w:val="42D63375"/>
    <w:rsid w:val="42DF2C95"/>
    <w:rsid w:val="42E42559"/>
    <w:rsid w:val="42E67BD6"/>
    <w:rsid w:val="42EA799C"/>
    <w:rsid w:val="42EC7ADE"/>
    <w:rsid w:val="42F73173"/>
    <w:rsid w:val="42F917DA"/>
    <w:rsid w:val="43027B81"/>
    <w:rsid w:val="430D6B51"/>
    <w:rsid w:val="43100A85"/>
    <w:rsid w:val="43184503"/>
    <w:rsid w:val="431A36BA"/>
    <w:rsid w:val="43201ADE"/>
    <w:rsid w:val="43236D78"/>
    <w:rsid w:val="433A3D54"/>
    <w:rsid w:val="43465A4C"/>
    <w:rsid w:val="434D79EC"/>
    <w:rsid w:val="435340A4"/>
    <w:rsid w:val="435716DB"/>
    <w:rsid w:val="43593939"/>
    <w:rsid w:val="436B1CE0"/>
    <w:rsid w:val="4379487C"/>
    <w:rsid w:val="437C19D2"/>
    <w:rsid w:val="437C516A"/>
    <w:rsid w:val="438860E0"/>
    <w:rsid w:val="438B640A"/>
    <w:rsid w:val="438C2802"/>
    <w:rsid w:val="43933D15"/>
    <w:rsid w:val="43982987"/>
    <w:rsid w:val="43A265E5"/>
    <w:rsid w:val="43C1654E"/>
    <w:rsid w:val="43C20CDB"/>
    <w:rsid w:val="43C6729D"/>
    <w:rsid w:val="43CC52F4"/>
    <w:rsid w:val="43D47D92"/>
    <w:rsid w:val="43DE34AF"/>
    <w:rsid w:val="43E4751D"/>
    <w:rsid w:val="43EF2D90"/>
    <w:rsid w:val="43F22EDA"/>
    <w:rsid w:val="43F720F9"/>
    <w:rsid w:val="43F87E97"/>
    <w:rsid w:val="440305EA"/>
    <w:rsid w:val="440438CE"/>
    <w:rsid w:val="44096562"/>
    <w:rsid w:val="440970BC"/>
    <w:rsid w:val="440A1D94"/>
    <w:rsid w:val="44104851"/>
    <w:rsid w:val="44115119"/>
    <w:rsid w:val="44171416"/>
    <w:rsid w:val="442347E8"/>
    <w:rsid w:val="44246291"/>
    <w:rsid w:val="44291CED"/>
    <w:rsid w:val="442B201A"/>
    <w:rsid w:val="442C32E3"/>
    <w:rsid w:val="4433789F"/>
    <w:rsid w:val="44354484"/>
    <w:rsid w:val="44361AB1"/>
    <w:rsid w:val="444773EB"/>
    <w:rsid w:val="44501C29"/>
    <w:rsid w:val="44511355"/>
    <w:rsid w:val="4451750E"/>
    <w:rsid w:val="44685625"/>
    <w:rsid w:val="446A6206"/>
    <w:rsid w:val="446C0A54"/>
    <w:rsid w:val="447A5EC5"/>
    <w:rsid w:val="447D6DE2"/>
    <w:rsid w:val="448F2B9F"/>
    <w:rsid w:val="4491621B"/>
    <w:rsid w:val="44946B49"/>
    <w:rsid w:val="4498198D"/>
    <w:rsid w:val="449E6704"/>
    <w:rsid w:val="44A3174F"/>
    <w:rsid w:val="44AC6EB7"/>
    <w:rsid w:val="44B35E94"/>
    <w:rsid w:val="44C01D9B"/>
    <w:rsid w:val="44C22253"/>
    <w:rsid w:val="44C309F2"/>
    <w:rsid w:val="44CA7669"/>
    <w:rsid w:val="44E071BB"/>
    <w:rsid w:val="44E93C92"/>
    <w:rsid w:val="44EA51B9"/>
    <w:rsid w:val="44EB17AA"/>
    <w:rsid w:val="44ED3C39"/>
    <w:rsid w:val="44EF5ACB"/>
    <w:rsid w:val="44F468B0"/>
    <w:rsid w:val="44F63FF4"/>
    <w:rsid w:val="45072AFB"/>
    <w:rsid w:val="45085098"/>
    <w:rsid w:val="450E5498"/>
    <w:rsid w:val="451231DA"/>
    <w:rsid w:val="4519742D"/>
    <w:rsid w:val="45247F1F"/>
    <w:rsid w:val="452A4C8C"/>
    <w:rsid w:val="452C7B1C"/>
    <w:rsid w:val="452E1696"/>
    <w:rsid w:val="45450F6F"/>
    <w:rsid w:val="455A248C"/>
    <w:rsid w:val="455B4CEC"/>
    <w:rsid w:val="45762FE1"/>
    <w:rsid w:val="457B3932"/>
    <w:rsid w:val="458F0788"/>
    <w:rsid w:val="4595626D"/>
    <w:rsid w:val="459B0AB5"/>
    <w:rsid w:val="45A14C43"/>
    <w:rsid w:val="45A40C20"/>
    <w:rsid w:val="45BB076F"/>
    <w:rsid w:val="45BD6FDF"/>
    <w:rsid w:val="45C25504"/>
    <w:rsid w:val="45C64190"/>
    <w:rsid w:val="45D15071"/>
    <w:rsid w:val="45D20858"/>
    <w:rsid w:val="45D90C0B"/>
    <w:rsid w:val="45EA6914"/>
    <w:rsid w:val="45F015DD"/>
    <w:rsid w:val="45F14B9E"/>
    <w:rsid w:val="45F4643C"/>
    <w:rsid w:val="45F866F7"/>
    <w:rsid w:val="460462DB"/>
    <w:rsid w:val="4609633F"/>
    <w:rsid w:val="461F3D43"/>
    <w:rsid w:val="462A4FFA"/>
    <w:rsid w:val="462D2F50"/>
    <w:rsid w:val="46357E32"/>
    <w:rsid w:val="46381AF0"/>
    <w:rsid w:val="46396545"/>
    <w:rsid w:val="463B178D"/>
    <w:rsid w:val="463B74BE"/>
    <w:rsid w:val="46401681"/>
    <w:rsid w:val="464A2387"/>
    <w:rsid w:val="464B37BF"/>
    <w:rsid w:val="464C0688"/>
    <w:rsid w:val="464F287F"/>
    <w:rsid w:val="46542590"/>
    <w:rsid w:val="46595ECF"/>
    <w:rsid w:val="465D5B2A"/>
    <w:rsid w:val="46673B4F"/>
    <w:rsid w:val="466B3727"/>
    <w:rsid w:val="466C0B7F"/>
    <w:rsid w:val="467D4684"/>
    <w:rsid w:val="468772B0"/>
    <w:rsid w:val="46895883"/>
    <w:rsid w:val="46A1680B"/>
    <w:rsid w:val="46A5132D"/>
    <w:rsid w:val="46A90354"/>
    <w:rsid w:val="46BA704D"/>
    <w:rsid w:val="46C01665"/>
    <w:rsid w:val="46C20906"/>
    <w:rsid w:val="46CE4EDF"/>
    <w:rsid w:val="46EE18AB"/>
    <w:rsid w:val="47053887"/>
    <w:rsid w:val="47096209"/>
    <w:rsid w:val="47121270"/>
    <w:rsid w:val="472236C6"/>
    <w:rsid w:val="4726084A"/>
    <w:rsid w:val="47265BBB"/>
    <w:rsid w:val="472B5A88"/>
    <w:rsid w:val="472D0238"/>
    <w:rsid w:val="472F6F69"/>
    <w:rsid w:val="47313D0D"/>
    <w:rsid w:val="47327CAA"/>
    <w:rsid w:val="474128D4"/>
    <w:rsid w:val="47450F1C"/>
    <w:rsid w:val="474B05F7"/>
    <w:rsid w:val="474F1463"/>
    <w:rsid w:val="475A5034"/>
    <w:rsid w:val="475C073D"/>
    <w:rsid w:val="475D6DC6"/>
    <w:rsid w:val="47654001"/>
    <w:rsid w:val="47664B31"/>
    <w:rsid w:val="47673E62"/>
    <w:rsid w:val="47797541"/>
    <w:rsid w:val="477A1547"/>
    <w:rsid w:val="47841A42"/>
    <w:rsid w:val="478C1941"/>
    <w:rsid w:val="478E5F1E"/>
    <w:rsid w:val="479754E3"/>
    <w:rsid w:val="47990D17"/>
    <w:rsid w:val="47A65E5C"/>
    <w:rsid w:val="47B30941"/>
    <w:rsid w:val="47B90903"/>
    <w:rsid w:val="47D665A1"/>
    <w:rsid w:val="47DB15AF"/>
    <w:rsid w:val="47DB7592"/>
    <w:rsid w:val="47DD411A"/>
    <w:rsid w:val="47E052B6"/>
    <w:rsid w:val="47E14272"/>
    <w:rsid w:val="47E31EBC"/>
    <w:rsid w:val="47F72109"/>
    <w:rsid w:val="48154210"/>
    <w:rsid w:val="481B3748"/>
    <w:rsid w:val="48217617"/>
    <w:rsid w:val="48254FD3"/>
    <w:rsid w:val="482B1787"/>
    <w:rsid w:val="482D1243"/>
    <w:rsid w:val="483065D1"/>
    <w:rsid w:val="4836172A"/>
    <w:rsid w:val="484546C8"/>
    <w:rsid w:val="48464F59"/>
    <w:rsid w:val="4846586B"/>
    <w:rsid w:val="484940B0"/>
    <w:rsid w:val="484B15B1"/>
    <w:rsid w:val="484C006E"/>
    <w:rsid w:val="484E2A7A"/>
    <w:rsid w:val="48536D66"/>
    <w:rsid w:val="485A774E"/>
    <w:rsid w:val="48611CF0"/>
    <w:rsid w:val="486E7207"/>
    <w:rsid w:val="48711D8C"/>
    <w:rsid w:val="48746B38"/>
    <w:rsid w:val="487A3459"/>
    <w:rsid w:val="487A51FB"/>
    <w:rsid w:val="487C7FDA"/>
    <w:rsid w:val="488235EE"/>
    <w:rsid w:val="48853577"/>
    <w:rsid w:val="48853CC3"/>
    <w:rsid w:val="48855A71"/>
    <w:rsid w:val="488F68F0"/>
    <w:rsid w:val="48967DCE"/>
    <w:rsid w:val="489927D6"/>
    <w:rsid w:val="489C598B"/>
    <w:rsid w:val="48AE321A"/>
    <w:rsid w:val="48B20397"/>
    <w:rsid w:val="48BE1480"/>
    <w:rsid w:val="48C24EB9"/>
    <w:rsid w:val="48CB37E2"/>
    <w:rsid w:val="48D47801"/>
    <w:rsid w:val="48DF33D4"/>
    <w:rsid w:val="48E21B18"/>
    <w:rsid w:val="48E364F3"/>
    <w:rsid w:val="48E85126"/>
    <w:rsid w:val="48F36078"/>
    <w:rsid w:val="48F52A4C"/>
    <w:rsid w:val="48F579CF"/>
    <w:rsid w:val="49027491"/>
    <w:rsid w:val="49161E55"/>
    <w:rsid w:val="492D0BE2"/>
    <w:rsid w:val="49370D3C"/>
    <w:rsid w:val="49396F88"/>
    <w:rsid w:val="49426EF8"/>
    <w:rsid w:val="494C7153"/>
    <w:rsid w:val="4953261D"/>
    <w:rsid w:val="49557B3A"/>
    <w:rsid w:val="495C4A24"/>
    <w:rsid w:val="496114F1"/>
    <w:rsid w:val="49632EE1"/>
    <w:rsid w:val="4964023E"/>
    <w:rsid w:val="49644CE8"/>
    <w:rsid w:val="496E08E5"/>
    <w:rsid w:val="497003C1"/>
    <w:rsid w:val="497614EE"/>
    <w:rsid w:val="497B5415"/>
    <w:rsid w:val="497E0E3E"/>
    <w:rsid w:val="499500B6"/>
    <w:rsid w:val="499F5931"/>
    <w:rsid w:val="49AB59AC"/>
    <w:rsid w:val="49AB7035"/>
    <w:rsid w:val="49B667FB"/>
    <w:rsid w:val="49B92FE6"/>
    <w:rsid w:val="49C8030C"/>
    <w:rsid w:val="49C92672"/>
    <w:rsid w:val="49C94B18"/>
    <w:rsid w:val="49C95014"/>
    <w:rsid w:val="49D13D01"/>
    <w:rsid w:val="49DB2589"/>
    <w:rsid w:val="49DC21AA"/>
    <w:rsid w:val="49E060C7"/>
    <w:rsid w:val="49E25BA2"/>
    <w:rsid w:val="49E26AD1"/>
    <w:rsid w:val="49ED6C02"/>
    <w:rsid w:val="49EE5507"/>
    <w:rsid w:val="49F14C10"/>
    <w:rsid w:val="4A063F07"/>
    <w:rsid w:val="4A072AB4"/>
    <w:rsid w:val="4A08454D"/>
    <w:rsid w:val="4A09359D"/>
    <w:rsid w:val="4A11370A"/>
    <w:rsid w:val="4A207C44"/>
    <w:rsid w:val="4A241422"/>
    <w:rsid w:val="4A2A6456"/>
    <w:rsid w:val="4A2B1CAE"/>
    <w:rsid w:val="4A317B80"/>
    <w:rsid w:val="4A3A3460"/>
    <w:rsid w:val="4A4066DC"/>
    <w:rsid w:val="4A42265A"/>
    <w:rsid w:val="4A435BE4"/>
    <w:rsid w:val="4A467740"/>
    <w:rsid w:val="4A480474"/>
    <w:rsid w:val="4A4C5FDF"/>
    <w:rsid w:val="4A4E11F5"/>
    <w:rsid w:val="4A5B426C"/>
    <w:rsid w:val="4A673681"/>
    <w:rsid w:val="4A69200D"/>
    <w:rsid w:val="4A726CB2"/>
    <w:rsid w:val="4A876E48"/>
    <w:rsid w:val="4A881B07"/>
    <w:rsid w:val="4A897376"/>
    <w:rsid w:val="4A8C1C10"/>
    <w:rsid w:val="4A911554"/>
    <w:rsid w:val="4A953F60"/>
    <w:rsid w:val="4A9E308C"/>
    <w:rsid w:val="4AB32D6A"/>
    <w:rsid w:val="4AB42EE9"/>
    <w:rsid w:val="4AB93CF8"/>
    <w:rsid w:val="4AC00E2B"/>
    <w:rsid w:val="4AC20D48"/>
    <w:rsid w:val="4AC35357"/>
    <w:rsid w:val="4ACC7FA7"/>
    <w:rsid w:val="4ADE3FAC"/>
    <w:rsid w:val="4AE13198"/>
    <w:rsid w:val="4AEE5B50"/>
    <w:rsid w:val="4AF3331F"/>
    <w:rsid w:val="4B087B9A"/>
    <w:rsid w:val="4B195A48"/>
    <w:rsid w:val="4B1A131F"/>
    <w:rsid w:val="4B200795"/>
    <w:rsid w:val="4B223931"/>
    <w:rsid w:val="4B252D0D"/>
    <w:rsid w:val="4B272C8E"/>
    <w:rsid w:val="4B302EB9"/>
    <w:rsid w:val="4B3830B8"/>
    <w:rsid w:val="4B3937A9"/>
    <w:rsid w:val="4B4118D1"/>
    <w:rsid w:val="4B5E74E0"/>
    <w:rsid w:val="4B617C5C"/>
    <w:rsid w:val="4B6638A5"/>
    <w:rsid w:val="4B6E1664"/>
    <w:rsid w:val="4B75001F"/>
    <w:rsid w:val="4B88479B"/>
    <w:rsid w:val="4B8B339F"/>
    <w:rsid w:val="4B951C22"/>
    <w:rsid w:val="4BA733B7"/>
    <w:rsid w:val="4BAC0532"/>
    <w:rsid w:val="4BAD5FFB"/>
    <w:rsid w:val="4BB01EFB"/>
    <w:rsid w:val="4BB47CAD"/>
    <w:rsid w:val="4BC36618"/>
    <w:rsid w:val="4BC575D2"/>
    <w:rsid w:val="4BD1327F"/>
    <w:rsid w:val="4BD473CB"/>
    <w:rsid w:val="4BD72CCE"/>
    <w:rsid w:val="4BE56B55"/>
    <w:rsid w:val="4BEB02E1"/>
    <w:rsid w:val="4BF36FE5"/>
    <w:rsid w:val="4BF73FA9"/>
    <w:rsid w:val="4BFE29C8"/>
    <w:rsid w:val="4C0114B5"/>
    <w:rsid w:val="4C101556"/>
    <w:rsid w:val="4C21034F"/>
    <w:rsid w:val="4C274D59"/>
    <w:rsid w:val="4C3C0B3D"/>
    <w:rsid w:val="4C431BD8"/>
    <w:rsid w:val="4C480F04"/>
    <w:rsid w:val="4C484102"/>
    <w:rsid w:val="4C4E19DF"/>
    <w:rsid w:val="4C521727"/>
    <w:rsid w:val="4C5839CD"/>
    <w:rsid w:val="4C5A2092"/>
    <w:rsid w:val="4C5C4D3B"/>
    <w:rsid w:val="4C665E2C"/>
    <w:rsid w:val="4C675E56"/>
    <w:rsid w:val="4C7232DE"/>
    <w:rsid w:val="4C737C80"/>
    <w:rsid w:val="4C8921B1"/>
    <w:rsid w:val="4C8C571F"/>
    <w:rsid w:val="4C8E4097"/>
    <w:rsid w:val="4C9633E9"/>
    <w:rsid w:val="4C976133"/>
    <w:rsid w:val="4C992FEF"/>
    <w:rsid w:val="4C995F8F"/>
    <w:rsid w:val="4C9B6F6C"/>
    <w:rsid w:val="4C9D57EA"/>
    <w:rsid w:val="4CAA295C"/>
    <w:rsid w:val="4CAC45FA"/>
    <w:rsid w:val="4CB35B49"/>
    <w:rsid w:val="4CB4179A"/>
    <w:rsid w:val="4CCF2F2C"/>
    <w:rsid w:val="4CD05A56"/>
    <w:rsid w:val="4CD3133F"/>
    <w:rsid w:val="4CD45AC9"/>
    <w:rsid w:val="4CD8378E"/>
    <w:rsid w:val="4CDD7C2A"/>
    <w:rsid w:val="4CED435E"/>
    <w:rsid w:val="4CF12DAD"/>
    <w:rsid w:val="4CFA295C"/>
    <w:rsid w:val="4D007F3C"/>
    <w:rsid w:val="4D060B5B"/>
    <w:rsid w:val="4D0902DC"/>
    <w:rsid w:val="4D10319D"/>
    <w:rsid w:val="4D156B12"/>
    <w:rsid w:val="4D1C3A6D"/>
    <w:rsid w:val="4D1F0DA8"/>
    <w:rsid w:val="4D211983"/>
    <w:rsid w:val="4D216C65"/>
    <w:rsid w:val="4D2321BC"/>
    <w:rsid w:val="4D3D1082"/>
    <w:rsid w:val="4D4023CD"/>
    <w:rsid w:val="4D47065A"/>
    <w:rsid w:val="4D504C27"/>
    <w:rsid w:val="4D5640CC"/>
    <w:rsid w:val="4D574617"/>
    <w:rsid w:val="4D5C75C3"/>
    <w:rsid w:val="4D611781"/>
    <w:rsid w:val="4D616CA9"/>
    <w:rsid w:val="4D641E2B"/>
    <w:rsid w:val="4D680163"/>
    <w:rsid w:val="4D6D4849"/>
    <w:rsid w:val="4D6D6497"/>
    <w:rsid w:val="4D6E4D7A"/>
    <w:rsid w:val="4D744FC6"/>
    <w:rsid w:val="4D765068"/>
    <w:rsid w:val="4D767F07"/>
    <w:rsid w:val="4D7B6ABA"/>
    <w:rsid w:val="4D7C38E7"/>
    <w:rsid w:val="4D804553"/>
    <w:rsid w:val="4D837A9D"/>
    <w:rsid w:val="4D922638"/>
    <w:rsid w:val="4D9765CC"/>
    <w:rsid w:val="4D9E5B84"/>
    <w:rsid w:val="4DA35DA3"/>
    <w:rsid w:val="4DAE04C0"/>
    <w:rsid w:val="4DC128FD"/>
    <w:rsid w:val="4DC64890"/>
    <w:rsid w:val="4DC96CAD"/>
    <w:rsid w:val="4DCB55B7"/>
    <w:rsid w:val="4DCD1C80"/>
    <w:rsid w:val="4DD41E32"/>
    <w:rsid w:val="4DD77F9D"/>
    <w:rsid w:val="4DD87331"/>
    <w:rsid w:val="4DDB67E7"/>
    <w:rsid w:val="4DDE1885"/>
    <w:rsid w:val="4DE118D7"/>
    <w:rsid w:val="4DE374C2"/>
    <w:rsid w:val="4DE75961"/>
    <w:rsid w:val="4DE77C05"/>
    <w:rsid w:val="4DFA094C"/>
    <w:rsid w:val="4DFA5E71"/>
    <w:rsid w:val="4E0423E8"/>
    <w:rsid w:val="4E0F253F"/>
    <w:rsid w:val="4E150987"/>
    <w:rsid w:val="4E197821"/>
    <w:rsid w:val="4E197FF1"/>
    <w:rsid w:val="4E1C357A"/>
    <w:rsid w:val="4E1C6E78"/>
    <w:rsid w:val="4E20179A"/>
    <w:rsid w:val="4E231EFA"/>
    <w:rsid w:val="4E265FFB"/>
    <w:rsid w:val="4E276DA0"/>
    <w:rsid w:val="4E2D6578"/>
    <w:rsid w:val="4E45017D"/>
    <w:rsid w:val="4E5D5DE1"/>
    <w:rsid w:val="4E606D65"/>
    <w:rsid w:val="4E707542"/>
    <w:rsid w:val="4E79364B"/>
    <w:rsid w:val="4E7D5303"/>
    <w:rsid w:val="4E833350"/>
    <w:rsid w:val="4E885E83"/>
    <w:rsid w:val="4E8A5B90"/>
    <w:rsid w:val="4E9573E7"/>
    <w:rsid w:val="4E965430"/>
    <w:rsid w:val="4E9F5659"/>
    <w:rsid w:val="4EAE4549"/>
    <w:rsid w:val="4EB92DB3"/>
    <w:rsid w:val="4EBA663A"/>
    <w:rsid w:val="4EBF4682"/>
    <w:rsid w:val="4ECD0C68"/>
    <w:rsid w:val="4ECE7D18"/>
    <w:rsid w:val="4ED85773"/>
    <w:rsid w:val="4EDB463D"/>
    <w:rsid w:val="4EE80AF5"/>
    <w:rsid w:val="4EEA1301"/>
    <w:rsid w:val="4EF05142"/>
    <w:rsid w:val="4EF83441"/>
    <w:rsid w:val="4F027DCD"/>
    <w:rsid w:val="4F087F11"/>
    <w:rsid w:val="4F0B3174"/>
    <w:rsid w:val="4F17414E"/>
    <w:rsid w:val="4F1D07B2"/>
    <w:rsid w:val="4F235A7E"/>
    <w:rsid w:val="4F2864B4"/>
    <w:rsid w:val="4F2A2ECF"/>
    <w:rsid w:val="4F307AFE"/>
    <w:rsid w:val="4F325AB2"/>
    <w:rsid w:val="4F347D83"/>
    <w:rsid w:val="4F351F1E"/>
    <w:rsid w:val="4F3626CC"/>
    <w:rsid w:val="4F372E67"/>
    <w:rsid w:val="4F392A83"/>
    <w:rsid w:val="4F3A5756"/>
    <w:rsid w:val="4F3B2587"/>
    <w:rsid w:val="4F475F1E"/>
    <w:rsid w:val="4F4978FE"/>
    <w:rsid w:val="4F54239E"/>
    <w:rsid w:val="4F56223C"/>
    <w:rsid w:val="4F563CC4"/>
    <w:rsid w:val="4F5F6ABA"/>
    <w:rsid w:val="4F64104C"/>
    <w:rsid w:val="4F6E1444"/>
    <w:rsid w:val="4F7B197C"/>
    <w:rsid w:val="4F7C4DEC"/>
    <w:rsid w:val="4F7E319F"/>
    <w:rsid w:val="4F854C20"/>
    <w:rsid w:val="4F8A2175"/>
    <w:rsid w:val="4F8B5CAB"/>
    <w:rsid w:val="4F8C0582"/>
    <w:rsid w:val="4F907049"/>
    <w:rsid w:val="4F932446"/>
    <w:rsid w:val="4F9C74E3"/>
    <w:rsid w:val="4FA854F3"/>
    <w:rsid w:val="4FB87720"/>
    <w:rsid w:val="4FBD6FCD"/>
    <w:rsid w:val="4FC455BF"/>
    <w:rsid w:val="4FC66532"/>
    <w:rsid w:val="4FCA4430"/>
    <w:rsid w:val="4FCB56D1"/>
    <w:rsid w:val="4FDF58C0"/>
    <w:rsid w:val="4FE96744"/>
    <w:rsid w:val="4FEE5304"/>
    <w:rsid w:val="4FF94DD0"/>
    <w:rsid w:val="4FFF65B7"/>
    <w:rsid w:val="50025BF9"/>
    <w:rsid w:val="500A6D66"/>
    <w:rsid w:val="500E459E"/>
    <w:rsid w:val="50215FB6"/>
    <w:rsid w:val="50263523"/>
    <w:rsid w:val="50265FA4"/>
    <w:rsid w:val="502B3A9C"/>
    <w:rsid w:val="503D2442"/>
    <w:rsid w:val="503E30D6"/>
    <w:rsid w:val="504515B0"/>
    <w:rsid w:val="5046695E"/>
    <w:rsid w:val="50557173"/>
    <w:rsid w:val="50593A6B"/>
    <w:rsid w:val="505E3C9F"/>
    <w:rsid w:val="505F2F37"/>
    <w:rsid w:val="50646397"/>
    <w:rsid w:val="50646AD9"/>
    <w:rsid w:val="50805EA7"/>
    <w:rsid w:val="50807074"/>
    <w:rsid w:val="50861BA6"/>
    <w:rsid w:val="50864200"/>
    <w:rsid w:val="508D5E0B"/>
    <w:rsid w:val="509B77BD"/>
    <w:rsid w:val="509C4F51"/>
    <w:rsid w:val="50A27EF3"/>
    <w:rsid w:val="50A44F0A"/>
    <w:rsid w:val="50A849F3"/>
    <w:rsid w:val="50AA6215"/>
    <w:rsid w:val="50AE191E"/>
    <w:rsid w:val="50B14D89"/>
    <w:rsid w:val="50B21043"/>
    <w:rsid w:val="50B45146"/>
    <w:rsid w:val="50B60EBE"/>
    <w:rsid w:val="50BD5208"/>
    <w:rsid w:val="50BF04A1"/>
    <w:rsid w:val="50C47F48"/>
    <w:rsid w:val="50D2616F"/>
    <w:rsid w:val="50D77086"/>
    <w:rsid w:val="50E05817"/>
    <w:rsid w:val="50E11651"/>
    <w:rsid w:val="50E42651"/>
    <w:rsid w:val="50F50332"/>
    <w:rsid w:val="50FC527D"/>
    <w:rsid w:val="510605D2"/>
    <w:rsid w:val="510842E7"/>
    <w:rsid w:val="510D340E"/>
    <w:rsid w:val="5116195C"/>
    <w:rsid w:val="51185ACB"/>
    <w:rsid w:val="511F47D3"/>
    <w:rsid w:val="512D0091"/>
    <w:rsid w:val="512E1A66"/>
    <w:rsid w:val="512F2A1E"/>
    <w:rsid w:val="513242BC"/>
    <w:rsid w:val="513522FD"/>
    <w:rsid w:val="513D7E41"/>
    <w:rsid w:val="5147254E"/>
    <w:rsid w:val="514A42B6"/>
    <w:rsid w:val="51507003"/>
    <w:rsid w:val="515A45C0"/>
    <w:rsid w:val="51692149"/>
    <w:rsid w:val="516A4780"/>
    <w:rsid w:val="516A75D6"/>
    <w:rsid w:val="517808F8"/>
    <w:rsid w:val="51783644"/>
    <w:rsid w:val="517D01C7"/>
    <w:rsid w:val="51846000"/>
    <w:rsid w:val="518C3E23"/>
    <w:rsid w:val="51922557"/>
    <w:rsid w:val="51944151"/>
    <w:rsid w:val="51954F77"/>
    <w:rsid w:val="519939BE"/>
    <w:rsid w:val="51A52CE0"/>
    <w:rsid w:val="51A54069"/>
    <w:rsid w:val="51C62297"/>
    <w:rsid w:val="51C623A0"/>
    <w:rsid w:val="51D74E6B"/>
    <w:rsid w:val="51E61C51"/>
    <w:rsid w:val="51FE704A"/>
    <w:rsid w:val="521265C8"/>
    <w:rsid w:val="52143E79"/>
    <w:rsid w:val="521F6F10"/>
    <w:rsid w:val="52276970"/>
    <w:rsid w:val="522B58DB"/>
    <w:rsid w:val="52401D94"/>
    <w:rsid w:val="52443BD2"/>
    <w:rsid w:val="524D05C2"/>
    <w:rsid w:val="524F7FCC"/>
    <w:rsid w:val="525B3C5F"/>
    <w:rsid w:val="52707792"/>
    <w:rsid w:val="52791A83"/>
    <w:rsid w:val="528713B3"/>
    <w:rsid w:val="528D5C4E"/>
    <w:rsid w:val="529238D1"/>
    <w:rsid w:val="529D1F58"/>
    <w:rsid w:val="529E42FF"/>
    <w:rsid w:val="529E714D"/>
    <w:rsid w:val="52A336C4"/>
    <w:rsid w:val="52A618C3"/>
    <w:rsid w:val="52AB31F3"/>
    <w:rsid w:val="52B94DD1"/>
    <w:rsid w:val="52BD0CC3"/>
    <w:rsid w:val="52BF099D"/>
    <w:rsid w:val="52C8772C"/>
    <w:rsid w:val="52D65847"/>
    <w:rsid w:val="52FA0369"/>
    <w:rsid w:val="52FC7D90"/>
    <w:rsid w:val="530E6C76"/>
    <w:rsid w:val="531B51EB"/>
    <w:rsid w:val="5322518C"/>
    <w:rsid w:val="53236B9A"/>
    <w:rsid w:val="53282ECE"/>
    <w:rsid w:val="53341C4D"/>
    <w:rsid w:val="53344858"/>
    <w:rsid w:val="533A4D44"/>
    <w:rsid w:val="533C7549"/>
    <w:rsid w:val="53451009"/>
    <w:rsid w:val="5349425E"/>
    <w:rsid w:val="534F296A"/>
    <w:rsid w:val="53503C89"/>
    <w:rsid w:val="53570A76"/>
    <w:rsid w:val="53685A12"/>
    <w:rsid w:val="53694784"/>
    <w:rsid w:val="537151A7"/>
    <w:rsid w:val="53726A51"/>
    <w:rsid w:val="53786959"/>
    <w:rsid w:val="5382528E"/>
    <w:rsid w:val="538E4330"/>
    <w:rsid w:val="53924718"/>
    <w:rsid w:val="539A2FE0"/>
    <w:rsid w:val="539D63E9"/>
    <w:rsid w:val="53B726F8"/>
    <w:rsid w:val="53BD6C64"/>
    <w:rsid w:val="53C00C69"/>
    <w:rsid w:val="53C079DE"/>
    <w:rsid w:val="53C17EDF"/>
    <w:rsid w:val="53D043AA"/>
    <w:rsid w:val="53D71FFE"/>
    <w:rsid w:val="53DA1367"/>
    <w:rsid w:val="53E33FBB"/>
    <w:rsid w:val="53F260D7"/>
    <w:rsid w:val="53FF28BD"/>
    <w:rsid w:val="54084796"/>
    <w:rsid w:val="54120ED0"/>
    <w:rsid w:val="54174265"/>
    <w:rsid w:val="5424591F"/>
    <w:rsid w:val="542B571F"/>
    <w:rsid w:val="542E0305"/>
    <w:rsid w:val="542F26B7"/>
    <w:rsid w:val="54301240"/>
    <w:rsid w:val="54393430"/>
    <w:rsid w:val="543A1E06"/>
    <w:rsid w:val="543C37E9"/>
    <w:rsid w:val="5450072F"/>
    <w:rsid w:val="5454111A"/>
    <w:rsid w:val="545A022C"/>
    <w:rsid w:val="54640B73"/>
    <w:rsid w:val="546C52AF"/>
    <w:rsid w:val="546E473A"/>
    <w:rsid w:val="54791AFF"/>
    <w:rsid w:val="547C41CC"/>
    <w:rsid w:val="54836614"/>
    <w:rsid w:val="548412D3"/>
    <w:rsid w:val="54935193"/>
    <w:rsid w:val="54957B25"/>
    <w:rsid w:val="549E2395"/>
    <w:rsid w:val="54A3550C"/>
    <w:rsid w:val="54A42828"/>
    <w:rsid w:val="54A55FC7"/>
    <w:rsid w:val="54A57523"/>
    <w:rsid w:val="54A829E4"/>
    <w:rsid w:val="54AF5DA9"/>
    <w:rsid w:val="54B555E8"/>
    <w:rsid w:val="54BD4C14"/>
    <w:rsid w:val="54C13F96"/>
    <w:rsid w:val="54C61583"/>
    <w:rsid w:val="54C757F6"/>
    <w:rsid w:val="54CD0861"/>
    <w:rsid w:val="54DB4E01"/>
    <w:rsid w:val="54DB6ED0"/>
    <w:rsid w:val="54E4068E"/>
    <w:rsid w:val="54E834D9"/>
    <w:rsid w:val="54ED50FC"/>
    <w:rsid w:val="54F2448F"/>
    <w:rsid w:val="55001D9C"/>
    <w:rsid w:val="550B5550"/>
    <w:rsid w:val="550E0C51"/>
    <w:rsid w:val="550F7E94"/>
    <w:rsid w:val="551743A2"/>
    <w:rsid w:val="55176457"/>
    <w:rsid w:val="55180399"/>
    <w:rsid w:val="552522B4"/>
    <w:rsid w:val="55272642"/>
    <w:rsid w:val="552F6292"/>
    <w:rsid w:val="5546643F"/>
    <w:rsid w:val="5549216A"/>
    <w:rsid w:val="554B7B10"/>
    <w:rsid w:val="554D243C"/>
    <w:rsid w:val="555826EB"/>
    <w:rsid w:val="555A4C46"/>
    <w:rsid w:val="555D7928"/>
    <w:rsid w:val="55602718"/>
    <w:rsid w:val="55605EA9"/>
    <w:rsid w:val="55630EE8"/>
    <w:rsid w:val="556A056A"/>
    <w:rsid w:val="557017D5"/>
    <w:rsid w:val="55705D34"/>
    <w:rsid w:val="55722619"/>
    <w:rsid w:val="557B4484"/>
    <w:rsid w:val="557E38CB"/>
    <w:rsid w:val="55843CBB"/>
    <w:rsid w:val="5585401F"/>
    <w:rsid w:val="558B4BE0"/>
    <w:rsid w:val="55930E95"/>
    <w:rsid w:val="559B3181"/>
    <w:rsid w:val="55A7171D"/>
    <w:rsid w:val="55B4720A"/>
    <w:rsid w:val="55BB2AD2"/>
    <w:rsid w:val="55BC1527"/>
    <w:rsid w:val="55C07448"/>
    <w:rsid w:val="55CE6CAA"/>
    <w:rsid w:val="55D674C1"/>
    <w:rsid w:val="55D858B8"/>
    <w:rsid w:val="55DD4614"/>
    <w:rsid w:val="55F52488"/>
    <w:rsid w:val="55F605B8"/>
    <w:rsid w:val="55F92168"/>
    <w:rsid w:val="55F93CEF"/>
    <w:rsid w:val="55FB48E4"/>
    <w:rsid w:val="55FD032E"/>
    <w:rsid w:val="56083DDF"/>
    <w:rsid w:val="560A5F67"/>
    <w:rsid w:val="560D6BA8"/>
    <w:rsid w:val="56111A42"/>
    <w:rsid w:val="56162A54"/>
    <w:rsid w:val="56182C10"/>
    <w:rsid w:val="56236BA4"/>
    <w:rsid w:val="56254E8A"/>
    <w:rsid w:val="562876B9"/>
    <w:rsid w:val="563E72AD"/>
    <w:rsid w:val="564326EB"/>
    <w:rsid w:val="564360F2"/>
    <w:rsid w:val="56465480"/>
    <w:rsid w:val="564B4C59"/>
    <w:rsid w:val="56533401"/>
    <w:rsid w:val="565F5338"/>
    <w:rsid w:val="56707373"/>
    <w:rsid w:val="56772073"/>
    <w:rsid w:val="567E482A"/>
    <w:rsid w:val="5681008A"/>
    <w:rsid w:val="56925B6A"/>
    <w:rsid w:val="56951575"/>
    <w:rsid w:val="56A27BA1"/>
    <w:rsid w:val="56C47010"/>
    <w:rsid w:val="56CC3245"/>
    <w:rsid w:val="56D06A51"/>
    <w:rsid w:val="56D6630D"/>
    <w:rsid w:val="56D92BB9"/>
    <w:rsid w:val="56DE0327"/>
    <w:rsid w:val="56EA4CF6"/>
    <w:rsid w:val="56EB6E8E"/>
    <w:rsid w:val="56EF6D3B"/>
    <w:rsid w:val="57027924"/>
    <w:rsid w:val="57046C29"/>
    <w:rsid w:val="57064221"/>
    <w:rsid w:val="57121709"/>
    <w:rsid w:val="571357B2"/>
    <w:rsid w:val="571A1721"/>
    <w:rsid w:val="57215FF2"/>
    <w:rsid w:val="57376AD1"/>
    <w:rsid w:val="573A56D8"/>
    <w:rsid w:val="5745449A"/>
    <w:rsid w:val="574C1149"/>
    <w:rsid w:val="5759301C"/>
    <w:rsid w:val="576C2EF7"/>
    <w:rsid w:val="57745D73"/>
    <w:rsid w:val="577B47C6"/>
    <w:rsid w:val="577C5074"/>
    <w:rsid w:val="577C7F2C"/>
    <w:rsid w:val="57953003"/>
    <w:rsid w:val="5797498C"/>
    <w:rsid w:val="579D2DD8"/>
    <w:rsid w:val="579D79A7"/>
    <w:rsid w:val="579E08FE"/>
    <w:rsid w:val="57B3481A"/>
    <w:rsid w:val="57B34A60"/>
    <w:rsid w:val="57B805B7"/>
    <w:rsid w:val="57BC1B4E"/>
    <w:rsid w:val="57C31921"/>
    <w:rsid w:val="57C71C02"/>
    <w:rsid w:val="57D603C5"/>
    <w:rsid w:val="57D869F3"/>
    <w:rsid w:val="57DA76FC"/>
    <w:rsid w:val="57DD0569"/>
    <w:rsid w:val="57DE27CF"/>
    <w:rsid w:val="57DE7B5E"/>
    <w:rsid w:val="57E41558"/>
    <w:rsid w:val="57E804DC"/>
    <w:rsid w:val="57ED572A"/>
    <w:rsid w:val="57EF3E74"/>
    <w:rsid w:val="57F42C33"/>
    <w:rsid w:val="57F6254A"/>
    <w:rsid w:val="58021C27"/>
    <w:rsid w:val="580D0D9E"/>
    <w:rsid w:val="581201D1"/>
    <w:rsid w:val="581A7F84"/>
    <w:rsid w:val="581B4B57"/>
    <w:rsid w:val="582560CF"/>
    <w:rsid w:val="5829147E"/>
    <w:rsid w:val="583152CE"/>
    <w:rsid w:val="583312C2"/>
    <w:rsid w:val="584C4ECF"/>
    <w:rsid w:val="584F166F"/>
    <w:rsid w:val="58661E25"/>
    <w:rsid w:val="586D4D40"/>
    <w:rsid w:val="58701827"/>
    <w:rsid w:val="58730A41"/>
    <w:rsid w:val="5877020B"/>
    <w:rsid w:val="589940FF"/>
    <w:rsid w:val="58A15E3C"/>
    <w:rsid w:val="58AF3627"/>
    <w:rsid w:val="58B008E9"/>
    <w:rsid w:val="58B24CE2"/>
    <w:rsid w:val="58CD165C"/>
    <w:rsid w:val="58CE24F6"/>
    <w:rsid w:val="58D17325"/>
    <w:rsid w:val="58E24149"/>
    <w:rsid w:val="58F3608A"/>
    <w:rsid w:val="58F754C5"/>
    <w:rsid w:val="59231590"/>
    <w:rsid w:val="592C6400"/>
    <w:rsid w:val="593E02FB"/>
    <w:rsid w:val="593F4879"/>
    <w:rsid w:val="5940244C"/>
    <w:rsid w:val="59433750"/>
    <w:rsid w:val="59517D34"/>
    <w:rsid w:val="595250B9"/>
    <w:rsid w:val="59542F23"/>
    <w:rsid w:val="5955323E"/>
    <w:rsid w:val="5955698A"/>
    <w:rsid w:val="595C6AC3"/>
    <w:rsid w:val="59641C55"/>
    <w:rsid w:val="596B480F"/>
    <w:rsid w:val="596D6D08"/>
    <w:rsid w:val="597C07CB"/>
    <w:rsid w:val="598801B5"/>
    <w:rsid w:val="59981A5E"/>
    <w:rsid w:val="599B0F69"/>
    <w:rsid w:val="59A37D1A"/>
    <w:rsid w:val="59A73C63"/>
    <w:rsid w:val="59B2243E"/>
    <w:rsid w:val="59B91E0E"/>
    <w:rsid w:val="59C56616"/>
    <w:rsid w:val="59C92A8F"/>
    <w:rsid w:val="59CD45FC"/>
    <w:rsid w:val="59CD688C"/>
    <w:rsid w:val="59D13F82"/>
    <w:rsid w:val="59D17A58"/>
    <w:rsid w:val="59DB5DB0"/>
    <w:rsid w:val="59DF1F9B"/>
    <w:rsid w:val="59E05976"/>
    <w:rsid w:val="59E824B1"/>
    <w:rsid w:val="59E85E60"/>
    <w:rsid w:val="59EB2031"/>
    <w:rsid w:val="59ED228C"/>
    <w:rsid w:val="59EF71EF"/>
    <w:rsid w:val="59F42A57"/>
    <w:rsid w:val="59F94D11"/>
    <w:rsid w:val="59FB64BA"/>
    <w:rsid w:val="59FF11B8"/>
    <w:rsid w:val="5A0738AD"/>
    <w:rsid w:val="5A095A2E"/>
    <w:rsid w:val="5A0B5205"/>
    <w:rsid w:val="5A2008C2"/>
    <w:rsid w:val="5A2164BA"/>
    <w:rsid w:val="5A242A30"/>
    <w:rsid w:val="5A251819"/>
    <w:rsid w:val="5A260D07"/>
    <w:rsid w:val="5A280483"/>
    <w:rsid w:val="5A2D36C7"/>
    <w:rsid w:val="5A35223C"/>
    <w:rsid w:val="5A3A0B3E"/>
    <w:rsid w:val="5A3B3D4B"/>
    <w:rsid w:val="5A443955"/>
    <w:rsid w:val="5A463A93"/>
    <w:rsid w:val="5A4B7B15"/>
    <w:rsid w:val="5A507A2B"/>
    <w:rsid w:val="5A607BD9"/>
    <w:rsid w:val="5A647BDD"/>
    <w:rsid w:val="5A655021"/>
    <w:rsid w:val="5A6F5BE6"/>
    <w:rsid w:val="5A84386B"/>
    <w:rsid w:val="5A845D6D"/>
    <w:rsid w:val="5AA9347F"/>
    <w:rsid w:val="5AAD22A1"/>
    <w:rsid w:val="5AAE3FAD"/>
    <w:rsid w:val="5AB945A7"/>
    <w:rsid w:val="5ABA3412"/>
    <w:rsid w:val="5AD02BB7"/>
    <w:rsid w:val="5AD35737"/>
    <w:rsid w:val="5AE04DFD"/>
    <w:rsid w:val="5AE36E43"/>
    <w:rsid w:val="5AE83D23"/>
    <w:rsid w:val="5AED1980"/>
    <w:rsid w:val="5AFE037F"/>
    <w:rsid w:val="5B053065"/>
    <w:rsid w:val="5B0E2807"/>
    <w:rsid w:val="5B173A9F"/>
    <w:rsid w:val="5B1B763C"/>
    <w:rsid w:val="5B1E05AC"/>
    <w:rsid w:val="5B24408F"/>
    <w:rsid w:val="5B280EEA"/>
    <w:rsid w:val="5B3102F2"/>
    <w:rsid w:val="5B350F27"/>
    <w:rsid w:val="5B386DFE"/>
    <w:rsid w:val="5B445318"/>
    <w:rsid w:val="5B501729"/>
    <w:rsid w:val="5B5A09BB"/>
    <w:rsid w:val="5B5E3BBA"/>
    <w:rsid w:val="5B61129A"/>
    <w:rsid w:val="5B71577F"/>
    <w:rsid w:val="5B72226E"/>
    <w:rsid w:val="5B723645"/>
    <w:rsid w:val="5B732DEB"/>
    <w:rsid w:val="5B75324B"/>
    <w:rsid w:val="5B7E5408"/>
    <w:rsid w:val="5B994F9F"/>
    <w:rsid w:val="5B9F4C87"/>
    <w:rsid w:val="5BA03C89"/>
    <w:rsid w:val="5BAC762A"/>
    <w:rsid w:val="5BAF10AA"/>
    <w:rsid w:val="5BB23996"/>
    <w:rsid w:val="5BB309A7"/>
    <w:rsid w:val="5BB32CFF"/>
    <w:rsid w:val="5BB355E5"/>
    <w:rsid w:val="5BCA1CC1"/>
    <w:rsid w:val="5BD2377C"/>
    <w:rsid w:val="5BD42244"/>
    <w:rsid w:val="5BDE70A6"/>
    <w:rsid w:val="5BF60BB9"/>
    <w:rsid w:val="5BF62171"/>
    <w:rsid w:val="5BFE0F62"/>
    <w:rsid w:val="5BFE5131"/>
    <w:rsid w:val="5C080AF2"/>
    <w:rsid w:val="5C375C7F"/>
    <w:rsid w:val="5C3F78B8"/>
    <w:rsid w:val="5C5869C5"/>
    <w:rsid w:val="5C5B6738"/>
    <w:rsid w:val="5C5C0ECD"/>
    <w:rsid w:val="5C5D57A0"/>
    <w:rsid w:val="5C5E1C53"/>
    <w:rsid w:val="5C7438E3"/>
    <w:rsid w:val="5C790B93"/>
    <w:rsid w:val="5C795FFB"/>
    <w:rsid w:val="5C7C4F6B"/>
    <w:rsid w:val="5C814A76"/>
    <w:rsid w:val="5C823D43"/>
    <w:rsid w:val="5C843076"/>
    <w:rsid w:val="5C9033BE"/>
    <w:rsid w:val="5C965C6C"/>
    <w:rsid w:val="5C9E2A6B"/>
    <w:rsid w:val="5CA24452"/>
    <w:rsid w:val="5CAC1D07"/>
    <w:rsid w:val="5CBB6223"/>
    <w:rsid w:val="5CC1536E"/>
    <w:rsid w:val="5CC719E0"/>
    <w:rsid w:val="5CCE2DCA"/>
    <w:rsid w:val="5CD311C7"/>
    <w:rsid w:val="5CD50747"/>
    <w:rsid w:val="5CD65CAE"/>
    <w:rsid w:val="5CD9545A"/>
    <w:rsid w:val="5CE16B66"/>
    <w:rsid w:val="5CE57D78"/>
    <w:rsid w:val="5CE93AFB"/>
    <w:rsid w:val="5CEA2278"/>
    <w:rsid w:val="5CEA2493"/>
    <w:rsid w:val="5CEB42FB"/>
    <w:rsid w:val="5CEF253B"/>
    <w:rsid w:val="5CFF3EF8"/>
    <w:rsid w:val="5D1830ED"/>
    <w:rsid w:val="5D191820"/>
    <w:rsid w:val="5D1A7349"/>
    <w:rsid w:val="5D1C7FB0"/>
    <w:rsid w:val="5D2C42B6"/>
    <w:rsid w:val="5D306F6C"/>
    <w:rsid w:val="5D360479"/>
    <w:rsid w:val="5D40532E"/>
    <w:rsid w:val="5D4800F2"/>
    <w:rsid w:val="5D4F078E"/>
    <w:rsid w:val="5D6363D9"/>
    <w:rsid w:val="5D6975F7"/>
    <w:rsid w:val="5D6E26DC"/>
    <w:rsid w:val="5D740137"/>
    <w:rsid w:val="5D78421B"/>
    <w:rsid w:val="5D7B0026"/>
    <w:rsid w:val="5D9407D9"/>
    <w:rsid w:val="5D951B7B"/>
    <w:rsid w:val="5D9D04A9"/>
    <w:rsid w:val="5DBF512A"/>
    <w:rsid w:val="5DC34C1A"/>
    <w:rsid w:val="5DD635C0"/>
    <w:rsid w:val="5DDA0BE3"/>
    <w:rsid w:val="5DDF14A3"/>
    <w:rsid w:val="5DF94EAA"/>
    <w:rsid w:val="5DFA598A"/>
    <w:rsid w:val="5E034624"/>
    <w:rsid w:val="5E056050"/>
    <w:rsid w:val="5E111E29"/>
    <w:rsid w:val="5E176F79"/>
    <w:rsid w:val="5E1778E5"/>
    <w:rsid w:val="5E1E2AEB"/>
    <w:rsid w:val="5E1F7FC5"/>
    <w:rsid w:val="5E2770F1"/>
    <w:rsid w:val="5E28749E"/>
    <w:rsid w:val="5E351AB1"/>
    <w:rsid w:val="5E395D53"/>
    <w:rsid w:val="5E435A02"/>
    <w:rsid w:val="5E4B0941"/>
    <w:rsid w:val="5E517B67"/>
    <w:rsid w:val="5E570DFF"/>
    <w:rsid w:val="5E5835B4"/>
    <w:rsid w:val="5E5853FA"/>
    <w:rsid w:val="5E5F03D1"/>
    <w:rsid w:val="5E752447"/>
    <w:rsid w:val="5E7808B2"/>
    <w:rsid w:val="5E7B3840"/>
    <w:rsid w:val="5E90028C"/>
    <w:rsid w:val="5E961444"/>
    <w:rsid w:val="5E9B6F8F"/>
    <w:rsid w:val="5E9D190F"/>
    <w:rsid w:val="5E9E0B0D"/>
    <w:rsid w:val="5EA438C2"/>
    <w:rsid w:val="5EB56576"/>
    <w:rsid w:val="5EB72B79"/>
    <w:rsid w:val="5EBB0754"/>
    <w:rsid w:val="5EC0252D"/>
    <w:rsid w:val="5EC05C8A"/>
    <w:rsid w:val="5EC75B4C"/>
    <w:rsid w:val="5ECB0F51"/>
    <w:rsid w:val="5ED66BCF"/>
    <w:rsid w:val="5EDD40EA"/>
    <w:rsid w:val="5EE33AC5"/>
    <w:rsid w:val="5EF67A09"/>
    <w:rsid w:val="5F0B0E75"/>
    <w:rsid w:val="5F0C19B5"/>
    <w:rsid w:val="5F1030D6"/>
    <w:rsid w:val="5F104EAC"/>
    <w:rsid w:val="5F134279"/>
    <w:rsid w:val="5F1C2834"/>
    <w:rsid w:val="5F204B52"/>
    <w:rsid w:val="5F2C3FE5"/>
    <w:rsid w:val="5F2E261B"/>
    <w:rsid w:val="5F302912"/>
    <w:rsid w:val="5F423A37"/>
    <w:rsid w:val="5F4F53B7"/>
    <w:rsid w:val="5F5A77E4"/>
    <w:rsid w:val="5F5E7487"/>
    <w:rsid w:val="5F5F4E16"/>
    <w:rsid w:val="5F61504E"/>
    <w:rsid w:val="5F66059E"/>
    <w:rsid w:val="5F661D01"/>
    <w:rsid w:val="5F6C3697"/>
    <w:rsid w:val="5F7874E5"/>
    <w:rsid w:val="5F7A62AD"/>
    <w:rsid w:val="5F8204A8"/>
    <w:rsid w:val="5F85487D"/>
    <w:rsid w:val="5F877182"/>
    <w:rsid w:val="5F8772F0"/>
    <w:rsid w:val="5F901026"/>
    <w:rsid w:val="5F902BD6"/>
    <w:rsid w:val="5F944930"/>
    <w:rsid w:val="5F9D6DD9"/>
    <w:rsid w:val="5FAB32D6"/>
    <w:rsid w:val="5FAC4CC1"/>
    <w:rsid w:val="5FAC5328"/>
    <w:rsid w:val="5FB0423F"/>
    <w:rsid w:val="5FB122C2"/>
    <w:rsid w:val="5FB8258E"/>
    <w:rsid w:val="5FCE269F"/>
    <w:rsid w:val="5FD17AC2"/>
    <w:rsid w:val="5FD46396"/>
    <w:rsid w:val="5FD718DE"/>
    <w:rsid w:val="5FDA27AB"/>
    <w:rsid w:val="5FDA3133"/>
    <w:rsid w:val="5FDE5D3B"/>
    <w:rsid w:val="5FE60517"/>
    <w:rsid w:val="5FF15645"/>
    <w:rsid w:val="5FF64F95"/>
    <w:rsid w:val="5FF87674"/>
    <w:rsid w:val="6004529D"/>
    <w:rsid w:val="601C5056"/>
    <w:rsid w:val="601F2A50"/>
    <w:rsid w:val="603A2A5C"/>
    <w:rsid w:val="603C5C81"/>
    <w:rsid w:val="60463858"/>
    <w:rsid w:val="60477D84"/>
    <w:rsid w:val="60504EFA"/>
    <w:rsid w:val="605863CB"/>
    <w:rsid w:val="605D7CBD"/>
    <w:rsid w:val="60646B8F"/>
    <w:rsid w:val="606D58F4"/>
    <w:rsid w:val="60703F08"/>
    <w:rsid w:val="60713DCC"/>
    <w:rsid w:val="607641C6"/>
    <w:rsid w:val="60831D95"/>
    <w:rsid w:val="6088578F"/>
    <w:rsid w:val="608A543E"/>
    <w:rsid w:val="608B0F65"/>
    <w:rsid w:val="608F34D9"/>
    <w:rsid w:val="6097131C"/>
    <w:rsid w:val="60B4761C"/>
    <w:rsid w:val="60BC23C2"/>
    <w:rsid w:val="60BE0BE0"/>
    <w:rsid w:val="60C22441"/>
    <w:rsid w:val="60C56286"/>
    <w:rsid w:val="60CA2A17"/>
    <w:rsid w:val="60CB4BF1"/>
    <w:rsid w:val="60D24F8B"/>
    <w:rsid w:val="60D265D8"/>
    <w:rsid w:val="60D349B0"/>
    <w:rsid w:val="60D50F01"/>
    <w:rsid w:val="60E27404"/>
    <w:rsid w:val="60E93BB1"/>
    <w:rsid w:val="60F045A3"/>
    <w:rsid w:val="60F17CF0"/>
    <w:rsid w:val="60FB13A0"/>
    <w:rsid w:val="610009C6"/>
    <w:rsid w:val="6109503A"/>
    <w:rsid w:val="61095558"/>
    <w:rsid w:val="610A2BE8"/>
    <w:rsid w:val="6112129E"/>
    <w:rsid w:val="61134564"/>
    <w:rsid w:val="61182352"/>
    <w:rsid w:val="611A0E7F"/>
    <w:rsid w:val="6128233B"/>
    <w:rsid w:val="612F0440"/>
    <w:rsid w:val="6141229B"/>
    <w:rsid w:val="615124ED"/>
    <w:rsid w:val="615364CB"/>
    <w:rsid w:val="61540724"/>
    <w:rsid w:val="61554670"/>
    <w:rsid w:val="61554A3B"/>
    <w:rsid w:val="615C0669"/>
    <w:rsid w:val="615F4A2F"/>
    <w:rsid w:val="61624DDF"/>
    <w:rsid w:val="61686204"/>
    <w:rsid w:val="617014B9"/>
    <w:rsid w:val="61782D32"/>
    <w:rsid w:val="61813AEF"/>
    <w:rsid w:val="61823410"/>
    <w:rsid w:val="618255D2"/>
    <w:rsid w:val="619257E7"/>
    <w:rsid w:val="61930A60"/>
    <w:rsid w:val="61973944"/>
    <w:rsid w:val="619C2763"/>
    <w:rsid w:val="619C7562"/>
    <w:rsid w:val="61B23452"/>
    <w:rsid w:val="61C1574A"/>
    <w:rsid w:val="61C1665E"/>
    <w:rsid w:val="61CD42B9"/>
    <w:rsid w:val="61CE1DDF"/>
    <w:rsid w:val="61CF3703"/>
    <w:rsid w:val="61D105C5"/>
    <w:rsid w:val="61D22E94"/>
    <w:rsid w:val="61DA28EF"/>
    <w:rsid w:val="61DE5C3D"/>
    <w:rsid w:val="61EF66B9"/>
    <w:rsid w:val="61F02794"/>
    <w:rsid w:val="61F65D6E"/>
    <w:rsid w:val="61FA67F4"/>
    <w:rsid w:val="61FE178B"/>
    <w:rsid w:val="620519CD"/>
    <w:rsid w:val="620931D1"/>
    <w:rsid w:val="621335F5"/>
    <w:rsid w:val="621825FA"/>
    <w:rsid w:val="621A3E18"/>
    <w:rsid w:val="621D53D9"/>
    <w:rsid w:val="621E2E1A"/>
    <w:rsid w:val="621F4FCF"/>
    <w:rsid w:val="62231A1E"/>
    <w:rsid w:val="623808A2"/>
    <w:rsid w:val="62385780"/>
    <w:rsid w:val="623D34B4"/>
    <w:rsid w:val="624E7496"/>
    <w:rsid w:val="62522A10"/>
    <w:rsid w:val="627512BD"/>
    <w:rsid w:val="627B1F67"/>
    <w:rsid w:val="62972BD3"/>
    <w:rsid w:val="62A877C6"/>
    <w:rsid w:val="62B228B6"/>
    <w:rsid w:val="62B249B4"/>
    <w:rsid w:val="62B96A56"/>
    <w:rsid w:val="62C7787C"/>
    <w:rsid w:val="62CA289A"/>
    <w:rsid w:val="62CD52FD"/>
    <w:rsid w:val="62E22A90"/>
    <w:rsid w:val="62EE700E"/>
    <w:rsid w:val="62F07724"/>
    <w:rsid w:val="62F176F0"/>
    <w:rsid w:val="62FA2ACB"/>
    <w:rsid w:val="630B4427"/>
    <w:rsid w:val="630C7063"/>
    <w:rsid w:val="630D01AA"/>
    <w:rsid w:val="630F5BE9"/>
    <w:rsid w:val="63124BB3"/>
    <w:rsid w:val="631727AF"/>
    <w:rsid w:val="63233EA0"/>
    <w:rsid w:val="632A1A4A"/>
    <w:rsid w:val="632E6C71"/>
    <w:rsid w:val="63325ADE"/>
    <w:rsid w:val="633604F3"/>
    <w:rsid w:val="633B541A"/>
    <w:rsid w:val="633B642A"/>
    <w:rsid w:val="633C7410"/>
    <w:rsid w:val="633F2395"/>
    <w:rsid w:val="63431B88"/>
    <w:rsid w:val="634B0565"/>
    <w:rsid w:val="634D387E"/>
    <w:rsid w:val="63501ABC"/>
    <w:rsid w:val="63584A7D"/>
    <w:rsid w:val="63610E31"/>
    <w:rsid w:val="63640C4D"/>
    <w:rsid w:val="636D7219"/>
    <w:rsid w:val="636F774C"/>
    <w:rsid w:val="63736030"/>
    <w:rsid w:val="63751513"/>
    <w:rsid w:val="63822E81"/>
    <w:rsid w:val="6385274D"/>
    <w:rsid w:val="6389279C"/>
    <w:rsid w:val="638E29A2"/>
    <w:rsid w:val="63AB39D7"/>
    <w:rsid w:val="63AC6F52"/>
    <w:rsid w:val="63B4635C"/>
    <w:rsid w:val="63C169EE"/>
    <w:rsid w:val="63CD1373"/>
    <w:rsid w:val="63D343AE"/>
    <w:rsid w:val="63DE007B"/>
    <w:rsid w:val="63E5303B"/>
    <w:rsid w:val="63E8523C"/>
    <w:rsid w:val="63E9202A"/>
    <w:rsid w:val="63F0428F"/>
    <w:rsid w:val="63F6165D"/>
    <w:rsid w:val="640C0457"/>
    <w:rsid w:val="641050A5"/>
    <w:rsid w:val="6433207A"/>
    <w:rsid w:val="643A6D65"/>
    <w:rsid w:val="643B1328"/>
    <w:rsid w:val="643C52B6"/>
    <w:rsid w:val="643D16BE"/>
    <w:rsid w:val="643D372F"/>
    <w:rsid w:val="643F297E"/>
    <w:rsid w:val="644C4962"/>
    <w:rsid w:val="645543E1"/>
    <w:rsid w:val="64567FD5"/>
    <w:rsid w:val="645A01D5"/>
    <w:rsid w:val="645B5050"/>
    <w:rsid w:val="64654C7D"/>
    <w:rsid w:val="64670EF0"/>
    <w:rsid w:val="64822C9A"/>
    <w:rsid w:val="64835103"/>
    <w:rsid w:val="648C0D4E"/>
    <w:rsid w:val="64974741"/>
    <w:rsid w:val="649966D5"/>
    <w:rsid w:val="64A65D71"/>
    <w:rsid w:val="64AE5807"/>
    <w:rsid w:val="64B16C82"/>
    <w:rsid w:val="64B65C6C"/>
    <w:rsid w:val="64B83593"/>
    <w:rsid w:val="64B924B3"/>
    <w:rsid w:val="64BB2E9F"/>
    <w:rsid w:val="64BF0552"/>
    <w:rsid w:val="64C927F0"/>
    <w:rsid w:val="64CA3C80"/>
    <w:rsid w:val="64CD3A31"/>
    <w:rsid w:val="64D024F8"/>
    <w:rsid w:val="64D16233"/>
    <w:rsid w:val="64D3177B"/>
    <w:rsid w:val="64DA60EC"/>
    <w:rsid w:val="64E82105"/>
    <w:rsid w:val="64E94689"/>
    <w:rsid w:val="64EA4DA7"/>
    <w:rsid w:val="64F04606"/>
    <w:rsid w:val="64F843BE"/>
    <w:rsid w:val="64FD41BD"/>
    <w:rsid w:val="651041A2"/>
    <w:rsid w:val="651A01A4"/>
    <w:rsid w:val="651A4DFB"/>
    <w:rsid w:val="651B17E0"/>
    <w:rsid w:val="652C12F7"/>
    <w:rsid w:val="652C579B"/>
    <w:rsid w:val="652F760B"/>
    <w:rsid w:val="65384140"/>
    <w:rsid w:val="6539718E"/>
    <w:rsid w:val="65445AA1"/>
    <w:rsid w:val="654938B8"/>
    <w:rsid w:val="654976FC"/>
    <w:rsid w:val="654E5711"/>
    <w:rsid w:val="65577076"/>
    <w:rsid w:val="655923DB"/>
    <w:rsid w:val="655A116C"/>
    <w:rsid w:val="655D5954"/>
    <w:rsid w:val="656A3E4D"/>
    <w:rsid w:val="6570329F"/>
    <w:rsid w:val="657937BF"/>
    <w:rsid w:val="657D544F"/>
    <w:rsid w:val="657D7EE9"/>
    <w:rsid w:val="658A709F"/>
    <w:rsid w:val="658A7860"/>
    <w:rsid w:val="658F30A1"/>
    <w:rsid w:val="659E36EA"/>
    <w:rsid w:val="65AB4911"/>
    <w:rsid w:val="65AC6BB6"/>
    <w:rsid w:val="65AF5E66"/>
    <w:rsid w:val="65B20A19"/>
    <w:rsid w:val="65B265BB"/>
    <w:rsid w:val="65B408C6"/>
    <w:rsid w:val="65B7540C"/>
    <w:rsid w:val="65BF27ED"/>
    <w:rsid w:val="65FA5128"/>
    <w:rsid w:val="6603474E"/>
    <w:rsid w:val="66114056"/>
    <w:rsid w:val="66140709"/>
    <w:rsid w:val="66164A66"/>
    <w:rsid w:val="66200473"/>
    <w:rsid w:val="6623030C"/>
    <w:rsid w:val="662716D3"/>
    <w:rsid w:val="662B56F0"/>
    <w:rsid w:val="662C6BFE"/>
    <w:rsid w:val="66316A1D"/>
    <w:rsid w:val="66411032"/>
    <w:rsid w:val="66477E2C"/>
    <w:rsid w:val="664D5DE2"/>
    <w:rsid w:val="665940B8"/>
    <w:rsid w:val="665E78A6"/>
    <w:rsid w:val="66650F64"/>
    <w:rsid w:val="6668554F"/>
    <w:rsid w:val="666D1BC7"/>
    <w:rsid w:val="667B0788"/>
    <w:rsid w:val="668550CF"/>
    <w:rsid w:val="6687252C"/>
    <w:rsid w:val="66895DFA"/>
    <w:rsid w:val="668E29BF"/>
    <w:rsid w:val="668F0679"/>
    <w:rsid w:val="66911C63"/>
    <w:rsid w:val="66912508"/>
    <w:rsid w:val="6692200A"/>
    <w:rsid w:val="669331A4"/>
    <w:rsid w:val="66947840"/>
    <w:rsid w:val="6695590F"/>
    <w:rsid w:val="66A059E6"/>
    <w:rsid w:val="66A7492F"/>
    <w:rsid w:val="66B32D3F"/>
    <w:rsid w:val="66B75652"/>
    <w:rsid w:val="66BD2C58"/>
    <w:rsid w:val="66C44519"/>
    <w:rsid w:val="66C71DB6"/>
    <w:rsid w:val="66CC1852"/>
    <w:rsid w:val="66CD122F"/>
    <w:rsid w:val="66D22913"/>
    <w:rsid w:val="66D67281"/>
    <w:rsid w:val="66D734E4"/>
    <w:rsid w:val="66DB3DA6"/>
    <w:rsid w:val="66DF7FA9"/>
    <w:rsid w:val="66E16BF3"/>
    <w:rsid w:val="66EC72A0"/>
    <w:rsid w:val="66ED2CBE"/>
    <w:rsid w:val="66F165DA"/>
    <w:rsid w:val="66F2339D"/>
    <w:rsid w:val="67010C0E"/>
    <w:rsid w:val="67030578"/>
    <w:rsid w:val="67036B81"/>
    <w:rsid w:val="670468BA"/>
    <w:rsid w:val="670F1135"/>
    <w:rsid w:val="6714707A"/>
    <w:rsid w:val="671732AD"/>
    <w:rsid w:val="6719605D"/>
    <w:rsid w:val="6720260D"/>
    <w:rsid w:val="67285168"/>
    <w:rsid w:val="672C7F4C"/>
    <w:rsid w:val="67515045"/>
    <w:rsid w:val="675257F5"/>
    <w:rsid w:val="67566AFF"/>
    <w:rsid w:val="675B5E76"/>
    <w:rsid w:val="676209BD"/>
    <w:rsid w:val="67645052"/>
    <w:rsid w:val="67685218"/>
    <w:rsid w:val="676A01F8"/>
    <w:rsid w:val="676F3713"/>
    <w:rsid w:val="676F658D"/>
    <w:rsid w:val="677376B1"/>
    <w:rsid w:val="67765A2D"/>
    <w:rsid w:val="677A3069"/>
    <w:rsid w:val="67825B46"/>
    <w:rsid w:val="6785795F"/>
    <w:rsid w:val="6794120C"/>
    <w:rsid w:val="67944171"/>
    <w:rsid w:val="679F06CC"/>
    <w:rsid w:val="67A05FCC"/>
    <w:rsid w:val="67A41618"/>
    <w:rsid w:val="67AC46C6"/>
    <w:rsid w:val="67AD02A8"/>
    <w:rsid w:val="67AD30DB"/>
    <w:rsid w:val="67BF243C"/>
    <w:rsid w:val="67C24BE9"/>
    <w:rsid w:val="67C873C0"/>
    <w:rsid w:val="67DA64CF"/>
    <w:rsid w:val="67DB4D10"/>
    <w:rsid w:val="67DD6DED"/>
    <w:rsid w:val="67E079ED"/>
    <w:rsid w:val="67E26B26"/>
    <w:rsid w:val="67E659CB"/>
    <w:rsid w:val="67EA60D1"/>
    <w:rsid w:val="67EE31DB"/>
    <w:rsid w:val="68072C6B"/>
    <w:rsid w:val="680D0826"/>
    <w:rsid w:val="680E3696"/>
    <w:rsid w:val="680E5C71"/>
    <w:rsid w:val="681225FE"/>
    <w:rsid w:val="6815176E"/>
    <w:rsid w:val="681809B5"/>
    <w:rsid w:val="681D740D"/>
    <w:rsid w:val="6821384B"/>
    <w:rsid w:val="6823666A"/>
    <w:rsid w:val="683114CE"/>
    <w:rsid w:val="683A783C"/>
    <w:rsid w:val="684626D0"/>
    <w:rsid w:val="68572B2F"/>
    <w:rsid w:val="68583F14"/>
    <w:rsid w:val="68724C79"/>
    <w:rsid w:val="68754ACB"/>
    <w:rsid w:val="687E0205"/>
    <w:rsid w:val="68903545"/>
    <w:rsid w:val="68907DEF"/>
    <w:rsid w:val="689F421C"/>
    <w:rsid w:val="68A11915"/>
    <w:rsid w:val="68A635B3"/>
    <w:rsid w:val="68A67743"/>
    <w:rsid w:val="68B023DD"/>
    <w:rsid w:val="68B327D3"/>
    <w:rsid w:val="68B45916"/>
    <w:rsid w:val="68B65FB3"/>
    <w:rsid w:val="68BF12C4"/>
    <w:rsid w:val="68C1390B"/>
    <w:rsid w:val="68CA78DB"/>
    <w:rsid w:val="68D069C5"/>
    <w:rsid w:val="68D4007E"/>
    <w:rsid w:val="68DD4E43"/>
    <w:rsid w:val="68DD78F4"/>
    <w:rsid w:val="68E24AEE"/>
    <w:rsid w:val="690D6204"/>
    <w:rsid w:val="69117181"/>
    <w:rsid w:val="691514AB"/>
    <w:rsid w:val="69193488"/>
    <w:rsid w:val="691C4FE0"/>
    <w:rsid w:val="691C78D4"/>
    <w:rsid w:val="691D1FB0"/>
    <w:rsid w:val="6924767C"/>
    <w:rsid w:val="692D32A9"/>
    <w:rsid w:val="692E4C95"/>
    <w:rsid w:val="69312AE8"/>
    <w:rsid w:val="69330337"/>
    <w:rsid w:val="694F0570"/>
    <w:rsid w:val="69504690"/>
    <w:rsid w:val="695853AD"/>
    <w:rsid w:val="69635503"/>
    <w:rsid w:val="696926A3"/>
    <w:rsid w:val="69707F5F"/>
    <w:rsid w:val="69733998"/>
    <w:rsid w:val="69765236"/>
    <w:rsid w:val="698042D6"/>
    <w:rsid w:val="698C2CAC"/>
    <w:rsid w:val="698D0DD3"/>
    <w:rsid w:val="69936BB1"/>
    <w:rsid w:val="699A59DC"/>
    <w:rsid w:val="69B17C78"/>
    <w:rsid w:val="69B557EF"/>
    <w:rsid w:val="69BE2739"/>
    <w:rsid w:val="69BE6538"/>
    <w:rsid w:val="69BF0968"/>
    <w:rsid w:val="69BF5FCB"/>
    <w:rsid w:val="69C67FA0"/>
    <w:rsid w:val="69CA7037"/>
    <w:rsid w:val="69D0050B"/>
    <w:rsid w:val="69D312AD"/>
    <w:rsid w:val="69DE2780"/>
    <w:rsid w:val="69E620DA"/>
    <w:rsid w:val="69E7121E"/>
    <w:rsid w:val="69E77EE2"/>
    <w:rsid w:val="69E86AE1"/>
    <w:rsid w:val="69EB34E6"/>
    <w:rsid w:val="69EB6A0F"/>
    <w:rsid w:val="69EE301F"/>
    <w:rsid w:val="69F17174"/>
    <w:rsid w:val="69F24EE7"/>
    <w:rsid w:val="69F30265"/>
    <w:rsid w:val="69FA19EF"/>
    <w:rsid w:val="69FA6E9E"/>
    <w:rsid w:val="6A0445F0"/>
    <w:rsid w:val="6A1610B2"/>
    <w:rsid w:val="6A1A10BA"/>
    <w:rsid w:val="6A20271B"/>
    <w:rsid w:val="6A2922A9"/>
    <w:rsid w:val="6A303A08"/>
    <w:rsid w:val="6A40775C"/>
    <w:rsid w:val="6A4A4D6E"/>
    <w:rsid w:val="6A4C269D"/>
    <w:rsid w:val="6A4E4CD8"/>
    <w:rsid w:val="6A531D2C"/>
    <w:rsid w:val="6A62061A"/>
    <w:rsid w:val="6A671A22"/>
    <w:rsid w:val="6A6B43BD"/>
    <w:rsid w:val="6A793194"/>
    <w:rsid w:val="6A7B2218"/>
    <w:rsid w:val="6A7E34A3"/>
    <w:rsid w:val="6A8E69D4"/>
    <w:rsid w:val="6A943E02"/>
    <w:rsid w:val="6A9507E5"/>
    <w:rsid w:val="6A977051"/>
    <w:rsid w:val="6AA54025"/>
    <w:rsid w:val="6ABC311D"/>
    <w:rsid w:val="6AC67176"/>
    <w:rsid w:val="6AD0733B"/>
    <w:rsid w:val="6AD338DD"/>
    <w:rsid w:val="6ADC1E1D"/>
    <w:rsid w:val="6ADC5BEA"/>
    <w:rsid w:val="6AF4047F"/>
    <w:rsid w:val="6AFD4117"/>
    <w:rsid w:val="6B0A3E88"/>
    <w:rsid w:val="6B110350"/>
    <w:rsid w:val="6B1B3E42"/>
    <w:rsid w:val="6B243A22"/>
    <w:rsid w:val="6B2C142B"/>
    <w:rsid w:val="6B3233DF"/>
    <w:rsid w:val="6B3911C0"/>
    <w:rsid w:val="6B39527E"/>
    <w:rsid w:val="6B395846"/>
    <w:rsid w:val="6B421874"/>
    <w:rsid w:val="6B4658F5"/>
    <w:rsid w:val="6B4F0091"/>
    <w:rsid w:val="6B552A20"/>
    <w:rsid w:val="6B79100E"/>
    <w:rsid w:val="6B7A704C"/>
    <w:rsid w:val="6B80573A"/>
    <w:rsid w:val="6B824366"/>
    <w:rsid w:val="6B8E3877"/>
    <w:rsid w:val="6B94446F"/>
    <w:rsid w:val="6B953F1B"/>
    <w:rsid w:val="6B9E4702"/>
    <w:rsid w:val="6BA93D4C"/>
    <w:rsid w:val="6BAA7A46"/>
    <w:rsid w:val="6BBB4EB2"/>
    <w:rsid w:val="6BC04C84"/>
    <w:rsid w:val="6BC33297"/>
    <w:rsid w:val="6BD30D09"/>
    <w:rsid w:val="6BD67793"/>
    <w:rsid w:val="6BDD4538"/>
    <w:rsid w:val="6BE02E6E"/>
    <w:rsid w:val="6BE03538"/>
    <w:rsid w:val="6BFC6470"/>
    <w:rsid w:val="6C0669C3"/>
    <w:rsid w:val="6C0C5152"/>
    <w:rsid w:val="6C0D2E20"/>
    <w:rsid w:val="6C0F3C31"/>
    <w:rsid w:val="6C1559E0"/>
    <w:rsid w:val="6C1757AC"/>
    <w:rsid w:val="6C1A00FB"/>
    <w:rsid w:val="6C200EF1"/>
    <w:rsid w:val="6C201749"/>
    <w:rsid w:val="6C275932"/>
    <w:rsid w:val="6C2D1DB5"/>
    <w:rsid w:val="6C49172E"/>
    <w:rsid w:val="6C537D61"/>
    <w:rsid w:val="6C542D7D"/>
    <w:rsid w:val="6C604CE5"/>
    <w:rsid w:val="6C623627"/>
    <w:rsid w:val="6C704E2C"/>
    <w:rsid w:val="6C735C66"/>
    <w:rsid w:val="6C763FD3"/>
    <w:rsid w:val="6C7D068A"/>
    <w:rsid w:val="6C804A70"/>
    <w:rsid w:val="6C830C2B"/>
    <w:rsid w:val="6C9B212F"/>
    <w:rsid w:val="6C9C13B8"/>
    <w:rsid w:val="6C9E1B66"/>
    <w:rsid w:val="6CAE1A48"/>
    <w:rsid w:val="6CB6195D"/>
    <w:rsid w:val="6CB75B92"/>
    <w:rsid w:val="6CBD6743"/>
    <w:rsid w:val="6CC26325"/>
    <w:rsid w:val="6CC27352"/>
    <w:rsid w:val="6CDA449D"/>
    <w:rsid w:val="6CDA5113"/>
    <w:rsid w:val="6CE21E51"/>
    <w:rsid w:val="6CFA1CDB"/>
    <w:rsid w:val="6CFD2912"/>
    <w:rsid w:val="6CFD54B6"/>
    <w:rsid w:val="6CFD5E83"/>
    <w:rsid w:val="6D091B20"/>
    <w:rsid w:val="6D1332A3"/>
    <w:rsid w:val="6D136CAC"/>
    <w:rsid w:val="6D1804A1"/>
    <w:rsid w:val="6D26165B"/>
    <w:rsid w:val="6D2849F3"/>
    <w:rsid w:val="6D2B6E0E"/>
    <w:rsid w:val="6D2C3723"/>
    <w:rsid w:val="6D2E7B7F"/>
    <w:rsid w:val="6D467076"/>
    <w:rsid w:val="6D4B0788"/>
    <w:rsid w:val="6D4D4BA4"/>
    <w:rsid w:val="6D4E5649"/>
    <w:rsid w:val="6D5173E2"/>
    <w:rsid w:val="6D5D4213"/>
    <w:rsid w:val="6D6A1524"/>
    <w:rsid w:val="6D6A3304"/>
    <w:rsid w:val="6D75635D"/>
    <w:rsid w:val="6D767371"/>
    <w:rsid w:val="6D7E056A"/>
    <w:rsid w:val="6D814635"/>
    <w:rsid w:val="6D931035"/>
    <w:rsid w:val="6D9B34BE"/>
    <w:rsid w:val="6D9D2660"/>
    <w:rsid w:val="6DA64876"/>
    <w:rsid w:val="6DAC56CB"/>
    <w:rsid w:val="6DAD1699"/>
    <w:rsid w:val="6DBF684C"/>
    <w:rsid w:val="6DC95250"/>
    <w:rsid w:val="6DD16EDF"/>
    <w:rsid w:val="6DD80881"/>
    <w:rsid w:val="6DDC28D3"/>
    <w:rsid w:val="6DEC0B80"/>
    <w:rsid w:val="6DED5096"/>
    <w:rsid w:val="6DEF03A3"/>
    <w:rsid w:val="6DFF1E6B"/>
    <w:rsid w:val="6E0816BB"/>
    <w:rsid w:val="6E0D2096"/>
    <w:rsid w:val="6E12241F"/>
    <w:rsid w:val="6E1B7F49"/>
    <w:rsid w:val="6E201C15"/>
    <w:rsid w:val="6E2039C3"/>
    <w:rsid w:val="6E230430"/>
    <w:rsid w:val="6E2434B3"/>
    <w:rsid w:val="6E2F2E56"/>
    <w:rsid w:val="6E302C8D"/>
    <w:rsid w:val="6E480BF3"/>
    <w:rsid w:val="6E4A0A40"/>
    <w:rsid w:val="6E4C09BC"/>
    <w:rsid w:val="6E4D4C80"/>
    <w:rsid w:val="6E5D07DD"/>
    <w:rsid w:val="6E605434"/>
    <w:rsid w:val="6E611BEA"/>
    <w:rsid w:val="6E624E49"/>
    <w:rsid w:val="6E630058"/>
    <w:rsid w:val="6E6D7D83"/>
    <w:rsid w:val="6E885E54"/>
    <w:rsid w:val="6E8C20D9"/>
    <w:rsid w:val="6E8F0856"/>
    <w:rsid w:val="6E963C85"/>
    <w:rsid w:val="6E9817AB"/>
    <w:rsid w:val="6EA14F75"/>
    <w:rsid w:val="6EA23513"/>
    <w:rsid w:val="6EAB0EF6"/>
    <w:rsid w:val="6EAC2EC5"/>
    <w:rsid w:val="6EAD67E6"/>
    <w:rsid w:val="6EB06AB8"/>
    <w:rsid w:val="6EBC25B3"/>
    <w:rsid w:val="6EBE0A3A"/>
    <w:rsid w:val="6EC61F22"/>
    <w:rsid w:val="6ED22BFD"/>
    <w:rsid w:val="6ED674E5"/>
    <w:rsid w:val="6ED70CE6"/>
    <w:rsid w:val="6ED82B2B"/>
    <w:rsid w:val="6EDA60FB"/>
    <w:rsid w:val="6EDE390C"/>
    <w:rsid w:val="6EED6C12"/>
    <w:rsid w:val="6EF377F1"/>
    <w:rsid w:val="6F007E90"/>
    <w:rsid w:val="6F0A09EE"/>
    <w:rsid w:val="6F0F6ECE"/>
    <w:rsid w:val="6F14569D"/>
    <w:rsid w:val="6F1F1ECC"/>
    <w:rsid w:val="6F215C44"/>
    <w:rsid w:val="6F3E04D1"/>
    <w:rsid w:val="6F4554C5"/>
    <w:rsid w:val="6F481312"/>
    <w:rsid w:val="6F55769C"/>
    <w:rsid w:val="6F5B2714"/>
    <w:rsid w:val="6F654C12"/>
    <w:rsid w:val="6F6602D9"/>
    <w:rsid w:val="6F6837BD"/>
    <w:rsid w:val="6F6D2BDD"/>
    <w:rsid w:val="6F6D4FEF"/>
    <w:rsid w:val="6F711761"/>
    <w:rsid w:val="6F7203CE"/>
    <w:rsid w:val="6F731119"/>
    <w:rsid w:val="6F7756AB"/>
    <w:rsid w:val="6F853582"/>
    <w:rsid w:val="6F85476A"/>
    <w:rsid w:val="6F8A6081"/>
    <w:rsid w:val="6F8F4552"/>
    <w:rsid w:val="6F920C9A"/>
    <w:rsid w:val="6F974447"/>
    <w:rsid w:val="6F9E6935"/>
    <w:rsid w:val="6FA07E5E"/>
    <w:rsid w:val="6FAB0111"/>
    <w:rsid w:val="6FBF0C9A"/>
    <w:rsid w:val="6FC62571"/>
    <w:rsid w:val="6FCB5B95"/>
    <w:rsid w:val="6FCE2EB6"/>
    <w:rsid w:val="6FD2411F"/>
    <w:rsid w:val="6FD80980"/>
    <w:rsid w:val="6FDF5B07"/>
    <w:rsid w:val="6FF94CFB"/>
    <w:rsid w:val="70022D81"/>
    <w:rsid w:val="700C1C0C"/>
    <w:rsid w:val="700C314E"/>
    <w:rsid w:val="700F5A0F"/>
    <w:rsid w:val="70271038"/>
    <w:rsid w:val="70330642"/>
    <w:rsid w:val="70335EE6"/>
    <w:rsid w:val="70391717"/>
    <w:rsid w:val="70547D57"/>
    <w:rsid w:val="705A464B"/>
    <w:rsid w:val="705D67F3"/>
    <w:rsid w:val="705F4384"/>
    <w:rsid w:val="70701939"/>
    <w:rsid w:val="707B2468"/>
    <w:rsid w:val="70822713"/>
    <w:rsid w:val="708E10B8"/>
    <w:rsid w:val="709E77CF"/>
    <w:rsid w:val="70A60128"/>
    <w:rsid w:val="70A97417"/>
    <w:rsid w:val="70AB1C6A"/>
    <w:rsid w:val="70AB6287"/>
    <w:rsid w:val="70B94464"/>
    <w:rsid w:val="70BE3856"/>
    <w:rsid w:val="70BF793D"/>
    <w:rsid w:val="70C5547B"/>
    <w:rsid w:val="70CA43E2"/>
    <w:rsid w:val="70D70CB1"/>
    <w:rsid w:val="70DC1944"/>
    <w:rsid w:val="70E149BF"/>
    <w:rsid w:val="70EB02B8"/>
    <w:rsid w:val="70EE1B56"/>
    <w:rsid w:val="70F35E4C"/>
    <w:rsid w:val="71013ECC"/>
    <w:rsid w:val="710C32D1"/>
    <w:rsid w:val="71120A54"/>
    <w:rsid w:val="711C1715"/>
    <w:rsid w:val="71267ECA"/>
    <w:rsid w:val="71293023"/>
    <w:rsid w:val="71295174"/>
    <w:rsid w:val="712D35FD"/>
    <w:rsid w:val="712D5C9B"/>
    <w:rsid w:val="712E2128"/>
    <w:rsid w:val="713779A1"/>
    <w:rsid w:val="713936C2"/>
    <w:rsid w:val="713C0B14"/>
    <w:rsid w:val="71446312"/>
    <w:rsid w:val="71461C5D"/>
    <w:rsid w:val="714766B1"/>
    <w:rsid w:val="71504091"/>
    <w:rsid w:val="715230A0"/>
    <w:rsid w:val="715275FF"/>
    <w:rsid w:val="715E63DE"/>
    <w:rsid w:val="71626594"/>
    <w:rsid w:val="71645B12"/>
    <w:rsid w:val="7169516E"/>
    <w:rsid w:val="716B764B"/>
    <w:rsid w:val="716F4653"/>
    <w:rsid w:val="717262C6"/>
    <w:rsid w:val="71765F51"/>
    <w:rsid w:val="71792135"/>
    <w:rsid w:val="71872D8C"/>
    <w:rsid w:val="71876BD0"/>
    <w:rsid w:val="718F158B"/>
    <w:rsid w:val="718F5E88"/>
    <w:rsid w:val="71927518"/>
    <w:rsid w:val="71984B88"/>
    <w:rsid w:val="71985FC6"/>
    <w:rsid w:val="71AC2D38"/>
    <w:rsid w:val="71AF6538"/>
    <w:rsid w:val="71B41082"/>
    <w:rsid w:val="71BC74A4"/>
    <w:rsid w:val="71BD4CA2"/>
    <w:rsid w:val="71C62E4F"/>
    <w:rsid w:val="71C7471B"/>
    <w:rsid w:val="71D65A16"/>
    <w:rsid w:val="71D73B7A"/>
    <w:rsid w:val="71D856CC"/>
    <w:rsid w:val="71D90A7F"/>
    <w:rsid w:val="71E918A8"/>
    <w:rsid w:val="71E945CA"/>
    <w:rsid w:val="71ED774A"/>
    <w:rsid w:val="71EF5B86"/>
    <w:rsid w:val="71FB09CF"/>
    <w:rsid w:val="71FE226D"/>
    <w:rsid w:val="720027AB"/>
    <w:rsid w:val="720B7D81"/>
    <w:rsid w:val="7211527D"/>
    <w:rsid w:val="721B7234"/>
    <w:rsid w:val="722401B4"/>
    <w:rsid w:val="72293CB4"/>
    <w:rsid w:val="722F7785"/>
    <w:rsid w:val="72386750"/>
    <w:rsid w:val="724F0024"/>
    <w:rsid w:val="724F6E3E"/>
    <w:rsid w:val="7258146F"/>
    <w:rsid w:val="725A75E4"/>
    <w:rsid w:val="725C7417"/>
    <w:rsid w:val="725E20AD"/>
    <w:rsid w:val="72606A84"/>
    <w:rsid w:val="726809EA"/>
    <w:rsid w:val="726B560D"/>
    <w:rsid w:val="726C5EC5"/>
    <w:rsid w:val="726E2CDD"/>
    <w:rsid w:val="728B0E46"/>
    <w:rsid w:val="728D6704"/>
    <w:rsid w:val="729943A3"/>
    <w:rsid w:val="72B62B48"/>
    <w:rsid w:val="72C253CE"/>
    <w:rsid w:val="72C82D2F"/>
    <w:rsid w:val="72C86669"/>
    <w:rsid w:val="72D06994"/>
    <w:rsid w:val="72D24740"/>
    <w:rsid w:val="72D500D5"/>
    <w:rsid w:val="72DE7129"/>
    <w:rsid w:val="72E27E87"/>
    <w:rsid w:val="72E651DB"/>
    <w:rsid w:val="72E7469F"/>
    <w:rsid w:val="72EC1DCD"/>
    <w:rsid w:val="72EF42A5"/>
    <w:rsid w:val="72F01078"/>
    <w:rsid w:val="72F170E6"/>
    <w:rsid w:val="72F23964"/>
    <w:rsid w:val="72F96368"/>
    <w:rsid w:val="72FC1A02"/>
    <w:rsid w:val="72FD066C"/>
    <w:rsid w:val="730B39B2"/>
    <w:rsid w:val="731244E3"/>
    <w:rsid w:val="73171FD2"/>
    <w:rsid w:val="73186A98"/>
    <w:rsid w:val="73190753"/>
    <w:rsid w:val="731C0BFD"/>
    <w:rsid w:val="73222E20"/>
    <w:rsid w:val="732301DD"/>
    <w:rsid w:val="73231411"/>
    <w:rsid w:val="73323F84"/>
    <w:rsid w:val="73365CCA"/>
    <w:rsid w:val="733F3D2C"/>
    <w:rsid w:val="73447297"/>
    <w:rsid w:val="73453F0A"/>
    <w:rsid w:val="73466361"/>
    <w:rsid w:val="734819F2"/>
    <w:rsid w:val="734B3290"/>
    <w:rsid w:val="734D7008"/>
    <w:rsid w:val="73507A13"/>
    <w:rsid w:val="73526267"/>
    <w:rsid w:val="73570A77"/>
    <w:rsid w:val="7357139A"/>
    <w:rsid w:val="735760D9"/>
    <w:rsid w:val="73630732"/>
    <w:rsid w:val="73693BD2"/>
    <w:rsid w:val="737278F9"/>
    <w:rsid w:val="737403DD"/>
    <w:rsid w:val="737867C0"/>
    <w:rsid w:val="73844853"/>
    <w:rsid w:val="73855C38"/>
    <w:rsid w:val="73921937"/>
    <w:rsid w:val="739B5269"/>
    <w:rsid w:val="73A2394F"/>
    <w:rsid w:val="73AD6FC3"/>
    <w:rsid w:val="73AF138E"/>
    <w:rsid w:val="73B36B60"/>
    <w:rsid w:val="73B87FB2"/>
    <w:rsid w:val="73BA21C4"/>
    <w:rsid w:val="73BC5F3C"/>
    <w:rsid w:val="73C04E77"/>
    <w:rsid w:val="73C34DB5"/>
    <w:rsid w:val="73C414C4"/>
    <w:rsid w:val="73C53042"/>
    <w:rsid w:val="73D43D5E"/>
    <w:rsid w:val="73E11D69"/>
    <w:rsid w:val="73E3171A"/>
    <w:rsid w:val="73E764E2"/>
    <w:rsid w:val="73E83A32"/>
    <w:rsid w:val="73EA7525"/>
    <w:rsid w:val="73F05656"/>
    <w:rsid w:val="73F21977"/>
    <w:rsid w:val="73F42AE5"/>
    <w:rsid w:val="73F4617A"/>
    <w:rsid w:val="73F6144E"/>
    <w:rsid w:val="7404772C"/>
    <w:rsid w:val="740505C3"/>
    <w:rsid w:val="74072158"/>
    <w:rsid w:val="740A1C4D"/>
    <w:rsid w:val="740A314B"/>
    <w:rsid w:val="740D502E"/>
    <w:rsid w:val="740F0761"/>
    <w:rsid w:val="74171171"/>
    <w:rsid w:val="74174FB5"/>
    <w:rsid w:val="741A2D8F"/>
    <w:rsid w:val="741D2A47"/>
    <w:rsid w:val="74217AF7"/>
    <w:rsid w:val="74232B4C"/>
    <w:rsid w:val="74242EB5"/>
    <w:rsid w:val="744024F7"/>
    <w:rsid w:val="744F3C28"/>
    <w:rsid w:val="745B5B20"/>
    <w:rsid w:val="7468740F"/>
    <w:rsid w:val="747839DA"/>
    <w:rsid w:val="747E367A"/>
    <w:rsid w:val="74827185"/>
    <w:rsid w:val="74924E75"/>
    <w:rsid w:val="74A0760B"/>
    <w:rsid w:val="74A3128F"/>
    <w:rsid w:val="74A52E74"/>
    <w:rsid w:val="74A7110A"/>
    <w:rsid w:val="74A948F2"/>
    <w:rsid w:val="74AC3C8B"/>
    <w:rsid w:val="74AC4202"/>
    <w:rsid w:val="74AD488D"/>
    <w:rsid w:val="74AE1D28"/>
    <w:rsid w:val="74B01F96"/>
    <w:rsid w:val="74B65B46"/>
    <w:rsid w:val="74B83B2D"/>
    <w:rsid w:val="74CA3160"/>
    <w:rsid w:val="74D65575"/>
    <w:rsid w:val="74DA303D"/>
    <w:rsid w:val="74DE17C7"/>
    <w:rsid w:val="74E06409"/>
    <w:rsid w:val="74E861ED"/>
    <w:rsid w:val="74ED6A00"/>
    <w:rsid w:val="74F3598D"/>
    <w:rsid w:val="74F80DFA"/>
    <w:rsid w:val="7504538B"/>
    <w:rsid w:val="75096F5F"/>
    <w:rsid w:val="750F0270"/>
    <w:rsid w:val="75134281"/>
    <w:rsid w:val="7514680B"/>
    <w:rsid w:val="751668C4"/>
    <w:rsid w:val="7517341E"/>
    <w:rsid w:val="7518502D"/>
    <w:rsid w:val="751D183C"/>
    <w:rsid w:val="75271ADB"/>
    <w:rsid w:val="75291532"/>
    <w:rsid w:val="752E4C17"/>
    <w:rsid w:val="7530273D"/>
    <w:rsid w:val="75324CEE"/>
    <w:rsid w:val="753E0BCD"/>
    <w:rsid w:val="75423098"/>
    <w:rsid w:val="75597B3C"/>
    <w:rsid w:val="755D35D6"/>
    <w:rsid w:val="7563141F"/>
    <w:rsid w:val="75637D73"/>
    <w:rsid w:val="756E3266"/>
    <w:rsid w:val="75736ACE"/>
    <w:rsid w:val="757A60AE"/>
    <w:rsid w:val="75870B9E"/>
    <w:rsid w:val="758B1EB3"/>
    <w:rsid w:val="7591776F"/>
    <w:rsid w:val="75970A0E"/>
    <w:rsid w:val="759F705C"/>
    <w:rsid w:val="759F78C3"/>
    <w:rsid w:val="75A7410B"/>
    <w:rsid w:val="75A82C1C"/>
    <w:rsid w:val="75AA3D9C"/>
    <w:rsid w:val="75AD1FE0"/>
    <w:rsid w:val="75B44CE3"/>
    <w:rsid w:val="75B65567"/>
    <w:rsid w:val="75BA31CA"/>
    <w:rsid w:val="75BB051D"/>
    <w:rsid w:val="75BB6FF4"/>
    <w:rsid w:val="75BD1F6F"/>
    <w:rsid w:val="75C5557C"/>
    <w:rsid w:val="75CF01A8"/>
    <w:rsid w:val="75CF59EF"/>
    <w:rsid w:val="75D072B0"/>
    <w:rsid w:val="75D950B6"/>
    <w:rsid w:val="75EF25F8"/>
    <w:rsid w:val="75F028BB"/>
    <w:rsid w:val="76022697"/>
    <w:rsid w:val="7606023B"/>
    <w:rsid w:val="760970D6"/>
    <w:rsid w:val="760A752C"/>
    <w:rsid w:val="760D04DD"/>
    <w:rsid w:val="76250608"/>
    <w:rsid w:val="763335AF"/>
    <w:rsid w:val="76354938"/>
    <w:rsid w:val="763601D7"/>
    <w:rsid w:val="764826F7"/>
    <w:rsid w:val="764F57B4"/>
    <w:rsid w:val="765106DD"/>
    <w:rsid w:val="76511DCF"/>
    <w:rsid w:val="765358C5"/>
    <w:rsid w:val="765659C5"/>
    <w:rsid w:val="765A29BF"/>
    <w:rsid w:val="765C22B9"/>
    <w:rsid w:val="765F26C2"/>
    <w:rsid w:val="76681F83"/>
    <w:rsid w:val="76766876"/>
    <w:rsid w:val="76796366"/>
    <w:rsid w:val="767C3BBC"/>
    <w:rsid w:val="76835418"/>
    <w:rsid w:val="7687586B"/>
    <w:rsid w:val="768C2E48"/>
    <w:rsid w:val="76992564"/>
    <w:rsid w:val="769D02A6"/>
    <w:rsid w:val="769F7DB9"/>
    <w:rsid w:val="76D87695"/>
    <w:rsid w:val="76DB2594"/>
    <w:rsid w:val="76DE441B"/>
    <w:rsid w:val="76E24889"/>
    <w:rsid w:val="76E25CB9"/>
    <w:rsid w:val="76E32D8D"/>
    <w:rsid w:val="76E661B7"/>
    <w:rsid w:val="76EA5435"/>
    <w:rsid w:val="76EB7264"/>
    <w:rsid w:val="76F5193E"/>
    <w:rsid w:val="76F60727"/>
    <w:rsid w:val="76FE33E4"/>
    <w:rsid w:val="77047C7B"/>
    <w:rsid w:val="77057BFA"/>
    <w:rsid w:val="77066EB8"/>
    <w:rsid w:val="771479EA"/>
    <w:rsid w:val="77171BA5"/>
    <w:rsid w:val="77171F0D"/>
    <w:rsid w:val="77183DD1"/>
    <w:rsid w:val="77185B7F"/>
    <w:rsid w:val="771D0871"/>
    <w:rsid w:val="772337DA"/>
    <w:rsid w:val="7727063E"/>
    <w:rsid w:val="77313A95"/>
    <w:rsid w:val="77335C11"/>
    <w:rsid w:val="773E07A5"/>
    <w:rsid w:val="773E3FBA"/>
    <w:rsid w:val="77401176"/>
    <w:rsid w:val="774249AA"/>
    <w:rsid w:val="77444D05"/>
    <w:rsid w:val="774D07C7"/>
    <w:rsid w:val="774F10FC"/>
    <w:rsid w:val="7759651D"/>
    <w:rsid w:val="775C4EB8"/>
    <w:rsid w:val="77626856"/>
    <w:rsid w:val="776D150B"/>
    <w:rsid w:val="77732DB5"/>
    <w:rsid w:val="77737186"/>
    <w:rsid w:val="77774B64"/>
    <w:rsid w:val="777942B9"/>
    <w:rsid w:val="777A4144"/>
    <w:rsid w:val="778B4CAE"/>
    <w:rsid w:val="778E5E39"/>
    <w:rsid w:val="77965F70"/>
    <w:rsid w:val="779A32C2"/>
    <w:rsid w:val="77A013EE"/>
    <w:rsid w:val="77A70038"/>
    <w:rsid w:val="77A71A26"/>
    <w:rsid w:val="77A815EA"/>
    <w:rsid w:val="77B07B65"/>
    <w:rsid w:val="77BD1487"/>
    <w:rsid w:val="77BE19E3"/>
    <w:rsid w:val="77C11D73"/>
    <w:rsid w:val="77CD37B7"/>
    <w:rsid w:val="77CD3866"/>
    <w:rsid w:val="77CE623E"/>
    <w:rsid w:val="77D2068A"/>
    <w:rsid w:val="77E224F9"/>
    <w:rsid w:val="77E611AD"/>
    <w:rsid w:val="77E617D9"/>
    <w:rsid w:val="77E7461F"/>
    <w:rsid w:val="77F822F0"/>
    <w:rsid w:val="77F8636A"/>
    <w:rsid w:val="78014865"/>
    <w:rsid w:val="780178E5"/>
    <w:rsid w:val="780305DD"/>
    <w:rsid w:val="78066E16"/>
    <w:rsid w:val="780C154B"/>
    <w:rsid w:val="78153E6C"/>
    <w:rsid w:val="78186A26"/>
    <w:rsid w:val="781D4CA9"/>
    <w:rsid w:val="7827532A"/>
    <w:rsid w:val="782901F8"/>
    <w:rsid w:val="782D5D6D"/>
    <w:rsid w:val="783228ED"/>
    <w:rsid w:val="783573F4"/>
    <w:rsid w:val="783C246A"/>
    <w:rsid w:val="78493549"/>
    <w:rsid w:val="784D60DD"/>
    <w:rsid w:val="78542BE7"/>
    <w:rsid w:val="785D5BF2"/>
    <w:rsid w:val="786C298B"/>
    <w:rsid w:val="786F6F3D"/>
    <w:rsid w:val="78745174"/>
    <w:rsid w:val="787A60BC"/>
    <w:rsid w:val="787B7B4B"/>
    <w:rsid w:val="78850FF2"/>
    <w:rsid w:val="788B439D"/>
    <w:rsid w:val="78931961"/>
    <w:rsid w:val="78966637"/>
    <w:rsid w:val="78971B6D"/>
    <w:rsid w:val="78B35B5F"/>
    <w:rsid w:val="78B56B9F"/>
    <w:rsid w:val="78B90C9C"/>
    <w:rsid w:val="78B91A69"/>
    <w:rsid w:val="78BE18C8"/>
    <w:rsid w:val="78C17F0B"/>
    <w:rsid w:val="78CA36E7"/>
    <w:rsid w:val="78D91D33"/>
    <w:rsid w:val="78DB6C5D"/>
    <w:rsid w:val="78E15EA7"/>
    <w:rsid w:val="78E77F42"/>
    <w:rsid w:val="78E95CD8"/>
    <w:rsid w:val="78EB289A"/>
    <w:rsid w:val="78EB4B77"/>
    <w:rsid w:val="78ED10B7"/>
    <w:rsid w:val="78F539F3"/>
    <w:rsid w:val="78F85C68"/>
    <w:rsid w:val="78FC4C0E"/>
    <w:rsid w:val="79055D17"/>
    <w:rsid w:val="79067DF8"/>
    <w:rsid w:val="791418D7"/>
    <w:rsid w:val="792176EA"/>
    <w:rsid w:val="79267B5A"/>
    <w:rsid w:val="792B17B4"/>
    <w:rsid w:val="793507F3"/>
    <w:rsid w:val="793B4E52"/>
    <w:rsid w:val="794355E6"/>
    <w:rsid w:val="79482E7D"/>
    <w:rsid w:val="795351B8"/>
    <w:rsid w:val="7956473D"/>
    <w:rsid w:val="796826FA"/>
    <w:rsid w:val="796D36B3"/>
    <w:rsid w:val="796E42E4"/>
    <w:rsid w:val="79773159"/>
    <w:rsid w:val="797A6A18"/>
    <w:rsid w:val="798A51C6"/>
    <w:rsid w:val="798B483B"/>
    <w:rsid w:val="798D7C8E"/>
    <w:rsid w:val="7992603F"/>
    <w:rsid w:val="79961059"/>
    <w:rsid w:val="79992656"/>
    <w:rsid w:val="79B245AF"/>
    <w:rsid w:val="79B47A43"/>
    <w:rsid w:val="79B75431"/>
    <w:rsid w:val="79C0168B"/>
    <w:rsid w:val="79C4522B"/>
    <w:rsid w:val="79C61C2A"/>
    <w:rsid w:val="79C97800"/>
    <w:rsid w:val="79CE1549"/>
    <w:rsid w:val="79E0021A"/>
    <w:rsid w:val="79E436AC"/>
    <w:rsid w:val="79E53525"/>
    <w:rsid w:val="79E93803"/>
    <w:rsid w:val="79F07433"/>
    <w:rsid w:val="79F13614"/>
    <w:rsid w:val="7A0975C9"/>
    <w:rsid w:val="7A0B59F9"/>
    <w:rsid w:val="7A19012B"/>
    <w:rsid w:val="7A1A1DA3"/>
    <w:rsid w:val="7A301431"/>
    <w:rsid w:val="7A332CAE"/>
    <w:rsid w:val="7A342CD0"/>
    <w:rsid w:val="7A397DA3"/>
    <w:rsid w:val="7A4248A1"/>
    <w:rsid w:val="7A467525"/>
    <w:rsid w:val="7A49255D"/>
    <w:rsid w:val="7A517A33"/>
    <w:rsid w:val="7A533C13"/>
    <w:rsid w:val="7A5F4EA9"/>
    <w:rsid w:val="7A6414E5"/>
    <w:rsid w:val="7A694429"/>
    <w:rsid w:val="7A6A7516"/>
    <w:rsid w:val="7A742EE2"/>
    <w:rsid w:val="7A804167"/>
    <w:rsid w:val="7A811B9F"/>
    <w:rsid w:val="7A8327E7"/>
    <w:rsid w:val="7A8350E9"/>
    <w:rsid w:val="7A85352B"/>
    <w:rsid w:val="7A8D0632"/>
    <w:rsid w:val="7A901349"/>
    <w:rsid w:val="7A90662E"/>
    <w:rsid w:val="7AA035E9"/>
    <w:rsid w:val="7AA14258"/>
    <w:rsid w:val="7AA45CC7"/>
    <w:rsid w:val="7AAE6A78"/>
    <w:rsid w:val="7AC27B17"/>
    <w:rsid w:val="7AC45BE9"/>
    <w:rsid w:val="7ACD19D1"/>
    <w:rsid w:val="7ACD36B3"/>
    <w:rsid w:val="7ACD3C84"/>
    <w:rsid w:val="7AD63AD4"/>
    <w:rsid w:val="7AEC7341"/>
    <w:rsid w:val="7AEE2AB1"/>
    <w:rsid w:val="7AEE7323"/>
    <w:rsid w:val="7AF91402"/>
    <w:rsid w:val="7B045CCF"/>
    <w:rsid w:val="7B087CB8"/>
    <w:rsid w:val="7B1906FE"/>
    <w:rsid w:val="7B1C0647"/>
    <w:rsid w:val="7B205B3D"/>
    <w:rsid w:val="7B25239A"/>
    <w:rsid w:val="7B2F680A"/>
    <w:rsid w:val="7B454E99"/>
    <w:rsid w:val="7B47514E"/>
    <w:rsid w:val="7B4D17F2"/>
    <w:rsid w:val="7B4E4448"/>
    <w:rsid w:val="7B4F398E"/>
    <w:rsid w:val="7B5271B0"/>
    <w:rsid w:val="7B542EFE"/>
    <w:rsid w:val="7B566064"/>
    <w:rsid w:val="7B5C2976"/>
    <w:rsid w:val="7B606121"/>
    <w:rsid w:val="7B6770D5"/>
    <w:rsid w:val="7B734EEE"/>
    <w:rsid w:val="7B7670F4"/>
    <w:rsid w:val="7B7E6222"/>
    <w:rsid w:val="7B803CF3"/>
    <w:rsid w:val="7B82058D"/>
    <w:rsid w:val="7B876ECC"/>
    <w:rsid w:val="7B904E10"/>
    <w:rsid w:val="7B9059C4"/>
    <w:rsid w:val="7B9143DF"/>
    <w:rsid w:val="7BA63759"/>
    <w:rsid w:val="7BAA7975"/>
    <w:rsid w:val="7BAB4177"/>
    <w:rsid w:val="7BAF484B"/>
    <w:rsid w:val="7BBC2A20"/>
    <w:rsid w:val="7BBD35BB"/>
    <w:rsid w:val="7BBF77D4"/>
    <w:rsid w:val="7BCE71D2"/>
    <w:rsid w:val="7BD51895"/>
    <w:rsid w:val="7BD87860"/>
    <w:rsid w:val="7BDC7338"/>
    <w:rsid w:val="7BDF4672"/>
    <w:rsid w:val="7BE13152"/>
    <w:rsid w:val="7BE158A7"/>
    <w:rsid w:val="7BE32F9A"/>
    <w:rsid w:val="7BF05450"/>
    <w:rsid w:val="7C027CC7"/>
    <w:rsid w:val="7C0475FC"/>
    <w:rsid w:val="7C066563"/>
    <w:rsid w:val="7C0A31DE"/>
    <w:rsid w:val="7C1222C1"/>
    <w:rsid w:val="7C144C7C"/>
    <w:rsid w:val="7C1E6E4F"/>
    <w:rsid w:val="7C260489"/>
    <w:rsid w:val="7C290ED5"/>
    <w:rsid w:val="7C2F7BF3"/>
    <w:rsid w:val="7C3C7052"/>
    <w:rsid w:val="7C412856"/>
    <w:rsid w:val="7C49286F"/>
    <w:rsid w:val="7C5A6038"/>
    <w:rsid w:val="7C5B4087"/>
    <w:rsid w:val="7C617A0C"/>
    <w:rsid w:val="7C622D1D"/>
    <w:rsid w:val="7C9451B8"/>
    <w:rsid w:val="7C9B3A56"/>
    <w:rsid w:val="7C9C3977"/>
    <w:rsid w:val="7CA45911"/>
    <w:rsid w:val="7CA9706C"/>
    <w:rsid w:val="7CAB2FF1"/>
    <w:rsid w:val="7CB74603"/>
    <w:rsid w:val="7CC67AD5"/>
    <w:rsid w:val="7CCE48DE"/>
    <w:rsid w:val="7CD62FE1"/>
    <w:rsid w:val="7CE00EED"/>
    <w:rsid w:val="7CE24F3B"/>
    <w:rsid w:val="7CE47338"/>
    <w:rsid w:val="7CED3652"/>
    <w:rsid w:val="7CF40333"/>
    <w:rsid w:val="7CF74F76"/>
    <w:rsid w:val="7CFA3885"/>
    <w:rsid w:val="7D00333D"/>
    <w:rsid w:val="7D015DF7"/>
    <w:rsid w:val="7D0270B5"/>
    <w:rsid w:val="7D0862A0"/>
    <w:rsid w:val="7D0B355B"/>
    <w:rsid w:val="7D133070"/>
    <w:rsid w:val="7D136799"/>
    <w:rsid w:val="7D215605"/>
    <w:rsid w:val="7D26015A"/>
    <w:rsid w:val="7D2B2C3D"/>
    <w:rsid w:val="7D3220D1"/>
    <w:rsid w:val="7D460BD4"/>
    <w:rsid w:val="7D4814E1"/>
    <w:rsid w:val="7D4B1D51"/>
    <w:rsid w:val="7D4C2883"/>
    <w:rsid w:val="7D4C28EF"/>
    <w:rsid w:val="7D5346D1"/>
    <w:rsid w:val="7D575B1A"/>
    <w:rsid w:val="7D5B7AD5"/>
    <w:rsid w:val="7D705A51"/>
    <w:rsid w:val="7D711989"/>
    <w:rsid w:val="7D7A4E9D"/>
    <w:rsid w:val="7D871368"/>
    <w:rsid w:val="7D8950E1"/>
    <w:rsid w:val="7D8A0E65"/>
    <w:rsid w:val="7D8B5986"/>
    <w:rsid w:val="7D8D6BD3"/>
    <w:rsid w:val="7DA35931"/>
    <w:rsid w:val="7DAB7ED9"/>
    <w:rsid w:val="7DAE1046"/>
    <w:rsid w:val="7DB14637"/>
    <w:rsid w:val="7DB67EA0"/>
    <w:rsid w:val="7DB7597E"/>
    <w:rsid w:val="7DBA1971"/>
    <w:rsid w:val="7DBB09C7"/>
    <w:rsid w:val="7DBF6D54"/>
    <w:rsid w:val="7DC51E91"/>
    <w:rsid w:val="7DC83887"/>
    <w:rsid w:val="7DD42B5F"/>
    <w:rsid w:val="7DDD367E"/>
    <w:rsid w:val="7DE17C47"/>
    <w:rsid w:val="7DE354C2"/>
    <w:rsid w:val="7DE55799"/>
    <w:rsid w:val="7DE62F60"/>
    <w:rsid w:val="7DE91762"/>
    <w:rsid w:val="7DEB4322"/>
    <w:rsid w:val="7DEE6566"/>
    <w:rsid w:val="7DF22237"/>
    <w:rsid w:val="7DF4651F"/>
    <w:rsid w:val="7DF725BC"/>
    <w:rsid w:val="7DFE445C"/>
    <w:rsid w:val="7E015867"/>
    <w:rsid w:val="7E066731"/>
    <w:rsid w:val="7E0B01EC"/>
    <w:rsid w:val="7E1100C3"/>
    <w:rsid w:val="7E1C22E1"/>
    <w:rsid w:val="7E21597E"/>
    <w:rsid w:val="7E287A9B"/>
    <w:rsid w:val="7E2D0152"/>
    <w:rsid w:val="7E2E5DA9"/>
    <w:rsid w:val="7E370258"/>
    <w:rsid w:val="7E372D5F"/>
    <w:rsid w:val="7E3D4966"/>
    <w:rsid w:val="7E4C1862"/>
    <w:rsid w:val="7E4F0DCC"/>
    <w:rsid w:val="7E52070A"/>
    <w:rsid w:val="7E5513BD"/>
    <w:rsid w:val="7E5E2289"/>
    <w:rsid w:val="7E640205"/>
    <w:rsid w:val="7E6622BF"/>
    <w:rsid w:val="7E6C5466"/>
    <w:rsid w:val="7E6D5AA7"/>
    <w:rsid w:val="7E7B3286"/>
    <w:rsid w:val="7E86492C"/>
    <w:rsid w:val="7E913FED"/>
    <w:rsid w:val="7E9269DF"/>
    <w:rsid w:val="7E933D3D"/>
    <w:rsid w:val="7EA3485E"/>
    <w:rsid w:val="7EA446A2"/>
    <w:rsid w:val="7EB06276"/>
    <w:rsid w:val="7EB663C5"/>
    <w:rsid w:val="7EB872A3"/>
    <w:rsid w:val="7EB977B4"/>
    <w:rsid w:val="7EBB1A8E"/>
    <w:rsid w:val="7EC272E4"/>
    <w:rsid w:val="7EC3793C"/>
    <w:rsid w:val="7EC83A09"/>
    <w:rsid w:val="7ECF497D"/>
    <w:rsid w:val="7ED650EC"/>
    <w:rsid w:val="7ED7396C"/>
    <w:rsid w:val="7EDF3B17"/>
    <w:rsid w:val="7EF66459"/>
    <w:rsid w:val="7EF904A0"/>
    <w:rsid w:val="7EFE356F"/>
    <w:rsid w:val="7F0571E7"/>
    <w:rsid w:val="7F0923DC"/>
    <w:rsid w:val="7F1462FA"/>
    <w:rsid w:val="7F163ABB"/>
    <w:rsid w:val="7F166600"/>
    <w:rsid w:val="7F1F65DA"/>
    <w:rsid w:val="7F212FA1"/>
    <w:rsid w:val="7F2C5C1F"/>
    <w:rsid w:val="7F3B3B2D"/>
    <w:rsid w:val="7F3D441C"/>
    <w:rsid w:val="7F427C3D"/>
    <w:rsid w:val="7F432D96"/>
    <w:rsid w:val="7F4578AD"/>
    <w:rsid w:val="7F4960C1"/>
    <w:rsid w:val="7F5058B0"/>
    <w:rsid w:val="7F527938"/>
    <w:rsid w:val="7F53790A"/>
    <w:rsid w:val="7F541A7F"/>
    <w:rsid w:val="7F56446A"/>
    <w:rsid w:val="7F56563E"/>
    <w:rsid w:val="7F5900D2"/>
    <w:rsid w:val="7F623287"/>
    <w:rsid w:val="7F643B27"/>
    <w:rsid w:val="7F700AEC"/>
    <w:rsid w:val="7F883F79"/>
    <w:rsid w:val="7F935FE4"/>
    <w:rsid w:val="7F991187"/>
    <w:rsid w:val="7FA2248A"/>
    <w:rsid w:val="7FA77AA0"/>
    <w:rsid w:val="7FA93818"/>
    <w:rsid w:val="7FAB5254"/>
    <w:rsid w:val="7FB33FEF"/>
    <w:rsid w:val="7FB36445"/>
    <w:rsid w:val="7FBF303C"/>
    <w:rsid w:val="7FBF4DF5"/>
    <w:rsid w:val="7FBF4FBA"/>
    <w:rsid w:val="7FD46D71"/>
    <w:rsid w:val="7FD70782"/>
    <w:rsid w:val="7FD764CA"/>
    <w:rsid w:val="7FE572F4"/>
    <w:rsid w:val="7FF37531"/>
    <w:rsid w:val="7FFB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6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6"/>
    <w:qFormat/>
    <w:uiPriority w:val="0"/>
    <w:pPr>
      <w:keepNext/>
      <w:keepLines/>
      <w:adjustRightInd w:val="0"/>
      <w:snapToGrid w:val="0"/>
      <w:spacing w:before="260" w:after="260" w:line="360" w:lineRule="auto"/>
      <w:outlineLvl w:val="1"/>
    </w:pPr>
    <w:rPr>
      <w:rFonts w:ascii="Cambria" w:hAnsi="Cambria"/>
      <w:b/>
      <w:bCs/>
      <w:sz w:val="32"/>
      <w:szCs w:val="32"/>
    </w:rPr>
  </w:style>
  <w:style w:type="paragraph" w:styleId="6">
    <w:name w:val="heading 3"/>
    <w:basedOn w:val="1"/>
    <w:next w:val="1"/>
    <w:link w:val="155"/>
    <w:qFormat/>
    <w:uiPriority w:val="0"/>
    <w:pPr>
      <w:keepNext/>
      <w:keepLines/>
      <w:adjustRightInd w:val="0"/>
      <w:snapToGrid w:val="0"/>
      <w:spacing w:line="480" w:lineRule="auto"/>
      <w:jc w:val="center"/>
      <w:outlineLvl w:val="2"/>
    </w:pPr>
    <w:rPr>
      <w:b/>
      <w:bCs/>
      <w:sz w:val="32"/>
      <w:szCs w:val="32"/>
    </w:rPr>
  </w:style>
  <w:style w:type="paragraph" w:styleId="7">
    <w:name w:val="heading 4"/>
    <w:basedOn w:val="1"/>
    <w:next w:val="1"/>
    <w:link w:val="101"/>
    <w:qFormat/>
    <w:uiPriority w:val="0"/>
    <w:pPr>
      <w:widowControl/>
      <w:spacing w:before="100" w:beforeAutospacing="1" w:after="100" w:afterAutospacing="1"/>
      <w:jc w:val="left"/>
      <w:outlineLvl w:val="3"/>
    </w:pPr>
    <w:rPr>
      <w:rFonts w:ascii="宋体" w:hAnsi="宋体" w:cs="宋体"/>
      <w:b/>
      <w:bCs/>
      <w:sz w:val="24"/>
      <w:szCs w:val="24"/>
    </w:rPr>
  </w:style>
  <w:style w:type="paragraph" w:styleId="8">
    <w:name w:val="heading 5"/>
    <w:basedOn w:val="1"/>
    <w:next w:val="1"/>
    <w:link w:val="194"/>
    <w:qFormat/>
    <w:uiPriority w:val="0"/>
    <w:pPr>
      <w:widowControl/>
      <w:spacing w:before="100" w:beforeAutospacing="1" w:after="100" w:afterAutospacing="1"/>
      <w:jc w:val="left"/>
      <w:outlineLvl w:val="4"/>
    </w:pPr>
    <w:rPr>
      <w:rFonts w:ascii="宋体" w:hAnsi="宋体" w:cs="宋体"/>
      <w:b/>
      <w:bCs/>
    </w:rPr>
  </w:style>
  <w:style w:type="paragraph" w:styleId="9">
    <w:name w:val="heading 6"/>
    <w:basedOn w:val="10"/>
    <w:next w:val="1"/>
    <w:link w:val="170"/>
    <w:qFormat/>
    <w:uiPriority w:val="0"/>
    <w:pPr>
      <w:keepNext/>
      <w:keepLines/>
      <w:ind w:firstLine="200" w:firstLineChars="200"/>
      <w:outlineLvl w:val="5"/>
    </w:pPr>
    <w:rPr>
      <w:rFonts w:hAnsi="Arial"/>
    </w:rPr>
  </w:style>
  <w:style w:type="paragraph" w:styleId="11">
    <w:name w:val="heading 7"/>
    <w:basedOn w:val="1"/>
    <w:next w:val="1"/>
    <w:link w:val="120"/>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2">
    <w:name w:val="heading 8"/>
    <w:basedOn w:val="1"/>
    <w:next w:val="1"/>
    <w:link w:val="154"/>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3">
    <w:name w:val="heading 9"/>
    <w:basedOn w:val="1"/>
    <w:next w:val="1"/>
    <w:link w:val="149"/>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54">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3"/>
    <w:qFormat/>
    <w:uiPriority w:val="0"/>
    <w:pPr>
      <w:spacing w:after="120"/>
    </w:pPr>
    <w:rPr>
      <w:szCs w:val="24"/>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14">
    <w:name w:val="toc 7"/>
    <w:basedOn w:val="1"/>
    <w:next w:val="1"/>
    <w:qFormat/>
    <w:uiPriority w:val="0"/>
    <w:pPr>
      <w:ind w:left="2520" w:leftChars="1200"/>
    </w:pPr>
  </w:style>
  <w:style w:type="paragraph" w:styleId="15">
    <w:name w:val="List Bullet 4"/>
    <w:basedOn w:val="1"/>
    <w:qFormat/>
    <w:uiPriority w:val="0"/>
    <w:pPr>
      <w:numPr>
        <w:ilvl w:val="0"/>
        <w:numId w:val="1"/>
      </w:numPr>
      <w:tabs>
        <w:tab w:val="left" w:pos="1620"/>
      </w:tabs>
      <w:ind w:left="600" w:hanging="200"/>
    </w:pPr>
  </w:style>
  <w:style w:type="paragraph" w:styleId="16">
    <w:name w:val="List Bullet"/>
    <w:basedOn w:val="1"/>
    <w:qFormat/>
    <w:uiPriority w:val="0"/>
    <w:pPr>
      <w:numPr>
        <w:ilvl w:val="0"/>
        <w:numId w:val="2"/>
      </w:numPr>
      <w:tabs>
        <w:tab w:val="left" w:pos="360"/>
      </w:tabs>
      <w:ind w:hanging="200"/>
    </w:pPr>
  </w:style>
  <w:style w:type="paragraph" w:styleId="17">
    <w:name w:val="Document Map"/>
    <w:basedOn w:val="1"/>
    <w:link w:val="131"/>
    <w:qFormat/>
    <w:uiPriority w:val="0"/>
    <w:pPr>
      <w:shd w:val="clear" w:color="auto" w:fill="000080"/>
    </w:pPr>
    <w:rPr>
      <w:szCs w:val="24"/>
    </w:rPr>
  </w:style>
  <w:style w:type="paragraph" w:styleId="18">
    <w:name w:val="annotation text"/>
    <w:basedOn w:val="1"/>
    <w:link w:val="85"/>
    <w:qFormat/>
    <w:uiPriority w:val="0"/>
    <w:pPr>
      <w:jc w:val="left"/>
    </w:pPr>
    <w:rPr>
      <w:szCs w:val="24"/>
    </w:rPr>
  </w:style>
  <w:style w:type="paragraph" w:styleId="19">
    <w:name w:val="Body Text 3"/>
    <w:basedOn w:val="1"/>
    <w:link w:val="124"/>
    <w:qFormat/>
    <w:uiPriority w:val="0"/>
    <w:pPr>
      <w:spacing w:after="120"/>
    </w:pPr>
    <w:rPr>
      <w:sz w:val="16"/>
      <w:szCs w:val="16"/>
    </w:rPr>
  </w:style>
  <w:style w:type="paragraph" w:styleId="20">
    <w:name w:val="List Bullet 3"/>
    <w:basedOn w:val="1"/>
    <w:qFormat/>
    <w:uiPriority w:val="0"/>
    <w:pPr>
      <w:numPr>
        <w:ilvl w:val="0"/>
        <w:numId w:val="3"/>
      </w:numPr>
      <w:tabs>
        <w:tab w:val="left" w:pos="1200"/>
        <w:tab w:val="clear" w:pos="360"/>
      </w:tabs>
      <w:ind w:left="400" w:hanging="200"/>
    </w:pPr>
  </w:style>
  <w:style w:type="paragraph" w:styleId="21">
    <w:name w:val="Body Text Indent"/>
    <w:basedOn w:val="1"/>
    <w:link w:val="103"/>
    <w:qFormat/>
    <w:uiPriority w:val="0"/>
    <w:pPr>
      <w:ind w:firstLine="407" w:firstLineChars="200"/>
    </w:pPr>
    <w:rPr>
      <w:szCs w:val="24"/>
    </w:rPr>
  </w:style>
  <w:style w:type="paragraph" w:styleId="2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3">
    <w:name w:val="List Bullet 2"/>
    <w:basedOn w:val="1"/>
    <w:qFormat/>
    <w:uiPriority w:val="0"/>
    <w:pPr>
      <w:numPr>
        <w:ilvl w:val="0"/>
        <w:numId w:val="4"/>
      </w:numPr>
      <w:tabs>
        <w:tab w:val="left" w:pos="780"/>
      </w:tabs>
      <w:ind w:left="200" w:hanging="200"/>
    </w:pPr>
  </w:style>
  <w:style w:type="paragraph" w:styleId="24">
    <w:name w:val="index 4"/>
    <w:basedOn w:val="1"/>
    <w:next w:val="1"/>
    <w:qFormat/>
    <w:uiPriority w:val="0"/>
    <w:pPr>
      <w:ind w:left="600" w:leftChars="600"/>
    </w:pPr>
    <w:rPr>
      <w:szCs w:val="21"/>
    </w:rPr>
  </w:style>
  <w:style w:type="paragraph" w:styleId="25">
    <w:name w:val="toc 5"/>
    <w:basedOn w:val="1"/>
    <w:next w:val="1"/>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link w:val="156"/>
    <w:qFormat/>
    <w:uiPriority w:val="0"/>
    <w:rPr>
      <w:rFonts w:ascii="宋体" w:hAnsi="Courier New" w:cs="Courier New"/>
      <w:szCs w:val="21"/>
    </w:rPr>
  </w:style>
  <w:style w:type="paragraph" w:styleId="28">
    <w:name w:val="List Bullet 5"/>
    <w:basedOn w:val="1"/>
    <w:qFormat/>
    <w:uiPriority w:val="0"/>
    <w:pPr>
      <w:numPr>
        <w:ilvl w:val="0"/>
        <w:numId w:val="5"/>
      </w:numPr>
      <w:tabs>
        <w:tab w:val="left" w:pos="2040"/>
      </w:tabs>
      <w:ind w:left="800" w:hanging="200"/>
    </w:pPr>
  </w:style>
  <w:style w:type="paragraph" w:styleId="29">
    <w:name w:val="toc 8"/>
    <w:basedOn w:val="1"/>
    <w:next w:val="1"/>
    <w:qFormat/>
    <w:uiPriority w:val="0"/>
    <w:pPr>
      <w:ind w:left="2940" w:leftChars="1400"/>
    </w:pPr>
  </w:style>
  <w:style w:type="paragraph" w:styleId="30">
    <w:name w:val="Date"/>
    <w:basedOn w:val="1"/>
    <w:next w:val="1"/>
    <w:link w:val="212"/>
    <w:qFormat/>
    <w:uiPriority w:val="0"/>
    <w:pPr>
      <w:ind w:left="100" w:leftChars="2500"/>
    </w:pPr>
    <w:rPr>
      <w:szCs w:val="24"/>
    </w:rPr>
  </w:style>
  <w:style w:type="paragraph" w:styleId="31">
    <w:name w:val="Body Text Indent 2"/>
    <w:basedOn w:val="1"/>
    <w:link w:val="210"/>
    <w:qFormat/>
    <w:uiPriority w:val="0"/>
    <w:pPr>
      <w:widowControl/>
      <w:spacing w:line="480" w:lineRule="auto"/>
      <w:ind w:firstLine="560"/>
      <w:jc w:val="left"/>
    </w:pPr>
    <w:rPr>
      <w:sz w:val="28"/>
      <w:szCs w:val="24"/>
    </w:rPr>
  </w:style>
  <w:style w:type="paragraph" w:styleId="32">
    <w:name w:val="endnote text"/>
    <w:basedOn w:val="1"/>
    <w:link w:val="202"/>
    <w:qFormat/>
    <w:uiPriority w:val="0"/>
    <w:pPr>
      <w:widowControl/>
      <w:snapToGrid w:val="0"/>
      <w:jc w:val="left"/>
    </w:pPr>
    <w:rPr>
      <w:rFonts w:ascii="Arial" w:hAnsi="Arial" w:cs="Arial"/>
      <w:szCs w:val="24"/>
      <w:lang w:eastAsia="en-US"/>
    </w:rPr>
  </w:style>
  <w:style w:type="paragraph" w:styleId="33">
    <w:name w:val="Balloon Text"/>
    <w:basedOn w:val="1"/>
    <w:link w:val="96"/>
    <w:qFormat/>
    <w:uiPriority w:val="0"/>
    <w:rPr>
      <w:sz w:val="18"/>
      <w:szCs w:val="18"/>
    </w:rPr>
  </w:style>
  <w:style w:type="paragraph" w:styleId="34">
    <w:name w:val="footer"/>
    <w:basedOn w:val="1"/>
    <w:link w:val="73"/>
    <w:qFormat/>
    <w:uiPriority w:val="0"/>
    <w:pPr>
      <w:tabs>
        <w:tab w:val="center" w:pos="4153"/>
        <w:tab w:val="right" w:pos="8306"/>
      </w:tabs>
      <w:snapToGrid w:val="0"/>
      <w:jc w:val="left"/>
    </w:pPr>
    <w:rPr>
      <w:sz w:val="18"/>
      <w:szCs w:val="18"/>
    </w:rPr>
  </w:style>
  <w:style w:type="paragraph" w:styleId="35">
    <w:name w:val="header"/>
    <w:basedOn w:val="1"/>
    <w:link w:val="17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608"/>
      </w:tabs>
      <w:spacing w:line="480" w:lineRule="exact"/>
      <w:jc w:val="distribute"/>
    </w:pPr>
    <w:rPr>
      <w:rFonts w:ascii="宋体" w:hAnsi="宋体"/>
      <w:b/>
      <w:bCs/>
      <w:caps/>
      <w:color w:val="000000"/>
      <w:kern w:val="44"/>
      <w:sz w:val="24"/>
      <w:lang w:val="zh-CN"/>
    </w:rPr>
  </w:style>
  <w:style w:type="paragraph" w:styleId="37">
    <w:name w:val="toc 4"/>
    <w:basedOn w:val="1"/>
    <w:next w:val="1"/>
    <w:qFormat/>
    <w:uiPriority w:val="0"/>
    <w:pPr>
      <w:ind w:left="1260" w:leftChars="600"/>
    </w:pPr>
  </w:style>
  <w:style w:type="paragraph" w:styleId="38">
    <w:name w:val="Subtitle"/>
    <w:basedOn w:val="1"/>
    <w:link w:val="90"/>
    <w:qFormat/>
    <w:uiPriority w:val="0"/>
    <w:pPr>
      <w:widowControl/>
      <w:jc w:val="center"/>
    </w:pPr>
    <w:rPr>
      <w:szCs w:val="24"/>
      <w:u w:val="single"/>
      <w:lang w:eastAsia="en-US"/>
    </w:rPr>
  </w:style>
  <w:style w:type="paragraph" w:styleId="39">
    <w:name w:val="footnote text"/>
    <w:basedOn w:val="1"/>
    <w:link w:val="147"/>
    <w:qFormat/>
    <w:uiPriority w:val="0"/>
    <w:pPr>
      <w:widowControl/>
      <w:snapToGrid w:val="0"/>
      <w:jc w:val="left"/>
    </w:pPr>
    <w:rPr>
      <w:rFonts w:ascii="Arial" w:hAnsi="Arial" w:cs="Arial"/>
      <w:sz w:val="18"/>
      <w:szCs w:val="18"/>
      <w:lang w:eastAsia="en-US"/>
    </w:rPr>
  </w:style>
  <w:style w:type="paragraph" w:styleId="40">
    <w:name w:val="toc 6"/>
    <w:basedOn w:val="1"/>
    <w:next w:val="1"/>
    <w:qFormat/>
    <w:uiPriority w:val="0"/>
    <w:pPr>
      <w:ind w:left="2100" w:leftChars="1000"/>
    </w:pPr>
  </w:style>
  <w:style w:type="paragraph" w:styleId="41">
    <w:name w:val="Body Text Indent 3"/>
    <w:basedOn w:val="1"/>
    <w:link w:val="87"/>
    <w:qFormat/>
    <w:uiPriority w:val="0"/>
    <w:pPr>
      <w:spacing w:line="360" w:lineRule="auto"/>
      <w:ind w:firstLine="280" w:firstLineChars="100"/>
    </w:pPr>
    <w:rPr>
      <w:rFonts w:ascii="宋体" w:hAnsi="宋体"/>
      <w:sz w:val="28"/>
      <w:szCs w:val="28"/>
    </w:rPr>
  </w:style>
  <w:style w:type="paragraph" w:styleId="42">
    <w:name w:val="table of figures"/>
    <w:basedOn w:val="1"/>
    <w:next w:val="1"/>
    <w:qFormat/>
    <w:uiPriority w:val="0"/>
    <w:pPr>
      <w:ind w:left="200" w:leftChars="200" w:hanging="200" w:hangingChars="200"/>
    </w:p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style>
  <w:style w:type="paragraph" w:styleId="45">
    <w:name w:val="Body Text 2"/>
    <w:basedOn w:val="1"/>
    <w:link w:val="113"/>
    <w:qFormat/>
    <w:uiPriority w:val="0"/>
    <w:rPr>
      <w:i/>
      <w:iCs/>
      <w:sz w:val="26"/>
      <w:szCs w:val="24"/>
    </w:rPr>
  </w:style>
  <w:style w:type="paragraph" w:styleId="46">
    <w:name w:val="HTML Preformatted"/>
    <w:basedOn w:val="1"/>
    <w:link w:val="1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spacing w:line="220" w:lineRule="exact"/>
      <w:jc w:val="center"/>
    </w:pPr>
    <w:rPr>
      <w:rFonts w:ascii="仿宋_GB2312" w:eastAsia="仿宋_GB2312"/>
      <w:szCs w:val="21"/>
    </w:rPr>
  </w:style>
  <w:style w:type="paragraph" w:styleId="49">
    <w:name w:val="Title"/>
    <w:basedOn w:val="1"/>
    <w:link w:val="143"/>
    <w:qFormat/>
    <w:uiPriority w:val="0"/>
    <w:pPr>
      <w:widowControl/>
      <w:jc w:val="center"/>
    </w:pPr>
    <w:rPr>
      <w:szCs w:val="24"/>
      <w:u w:val="single"/>
      <w:lang w:eastAsia="en-US"/>
    </w:rPr>
  </w:style>
  <w:style w:type="paragraph" w:styleId="50">
    <w:name w:val="annotation subject"/>
    <w:basedOn w:val="18"/>
    <w:next w:val="18"/>
    <w:link w:val="91"/>
    <w:qFormat/>
    <w:uiPriority w:val="0"/>
    <w:rPr>
      <w:b/>
      <w:bCs/>
    </w:rPr>
  </w:style>
  <w:style w:type="paragraph" w:styleId="51">
    <w:name w:val="Body Text First Indent"/>
    <w:basedOn w:val="2"/>
    <w:next w:val="1"/>
    <w:qFormat/>
    <w:uiPriority w:val="0"/>
    <w:pPr>
      <w:spacing w:line="360" w:lineRule="auto"/>
      <w:ind w:firstLine="420"/>
    </w:pPr>
    <w:rPr>
      <w:rFonts w:ascii="宋体" w:hAnsi="宋体"/>
      <w:sz w:val="24"/>
    </w:rPr>
  </w:style>
  <w:style w:type="paragraph" w:styleId="52">
    <w:name w:val="Body Text First Indent 2"/>
    <w:basedOn w:val="21"/>
    <w:link w:val="128"/>
    <w:qFormat/>
    <w:uiPriority w:val="0"/>
    <w:pPr>
      <w:spacing w:after="120"/>
      <w:ind w:left="420" w:leftChars="200" w:firstLine="420"/>
    </w:pPr>
  </w:style>
  <w:style w:type="character" w:styleId="55">
    <w:name w:val="Strong"/>
    <w:basedOn w:val="54"/>
    <w:qFormat/>
    <w:uiPriority w:val="0"/>
    <w:rPr>
      <w:b/>
      <w:bCs/>
    </w:rPr>
  </w:style>
  <w:style w:type="character" w:styleId="56">
    <w:name w:val="endnote reference"/>
    <w:basedOn w:val="54"/>
    <w:qFormat/>
    <w:uiPriority w:val="0"/>
    <w:rPr>
      <w:vertAlign w:val="superscript"/>
    </w:rPr>
  </w:style>
  <w:style w:type="character" w:styleId="57">
    <w:name w:val="page number"/>
    <w:basedOn w:val="54"/>
    <w:qFormat/>
    <w:uiPriority w:val="0"/>
    <w:rPr>
      <w:rFonts w:ascii="Verdana" w:hAnsi="Verdana" w:eastAsia="仿宋_GB2312"/>
      <w:sz w:val="24"/>
      <w:lang w:val="en-US" w:eastAsia="en-US" w:bidi="ar-SA"/>
    </w:rPr>
  </w:style>
  <w:style w:type="character" w:styleId="58">
    <w:name w:val="FollowedHyperlink"/>
    <w:basedOn w:val="54"/>
    <w:qFormat/>
    <w:uiPriority w:val="0"/>
    <w:rPr>
      <w:color w:val="800080"/>
      <w:u w:val="single"/>
    </w:rPr>
  </w:style>
  <w:style w:type="character" w:styleId="59">
    <w:name w:val="Hyperlink"/>
    <w:basedOn w:val="54"/>
    <w:qFormat/>
    <w:uiPriority w:val="99"/>
    <w:rPr>
      <w:color w:val="0000FF"/>
      <w:u w:val="single"/>
    </w:rPr>
  </w:style>
  <w:style w:type="character" w:styleId="60">
    <w:name w:val="annotation reference"/>
    <w:basedOn w:val="54"/>
    <w:qFormat/>
    <w:uiPriority w:val="0"/>
    <w:rPr>
      <w:sz w:val="21"/>
      <w:szCs w:val="21"/>
    </w:rPr>
  </w:style>
  <w:style w:type="character" w:styleId="61">
    <w:name w:val="footnote reference"/>
    <w:basedOn w:val="54"/>
    <w:qFormat/>
    <w:uiPriority w:val="0"/>
    <w:rPr>
      <w:vertAlign w:val="superscript"/>
    </w:rPr>
  </w:style>
  <w:style w:type="character" w:customStyle="1" w:styleId="62">
    <w:name w:val="Char Char23"/>
    <w:basedOn w:val="54"/>
    <w:qFormat/>
    <w:uiPriority w:val="0"/>
    <w:rPr>
      <w:rFonts w:ascii="Cambria" w:hAnsi="Cambria" w:eastAsia="宋体" w:cs="Times New Roman"/>
      <w:b/>
      <w:bCs/>
      <w:kern w:val="2"/>
      <w:sz w:val="32"/>
      <w:szCs w:val="32"/>
    </w:rPr>
  </w:style>
  <w:style w:type="character" w:customStyle="1" w:styleId="63">
    <w:name w:val="正文文本 Char"/>
    <w:basedOn w:val="54"/>
    <w:link w:val="2"/>
    <w:qFormat/>
    <w:uiPriority w:val="0"/>
    <w:rPr>
      <w:rFonts w:eastAsia="宋体"/>
      <w:kern w:val="2"/>
      <w:sz w:val="21"/>
      <w:szCs w:val="24"/>
      <w:lang w:val="en-US" w:eastAsia="zh-CN" w:bidi="ar-SA"/>
    </w:rPr>
  </w:style>
  <w:style w:type="character" w:customStyle="1" w:styleId="64">
    <w:name w:val="Char Char52"/>
    <w:basedOn w:val="54"/>
    <w:qFormat/>
    <w:uiPriority w:val="0"/>
    <w:rPr>
      <w:rFonts w:ascii="Arial" w:hAnsi="Arial" w:eastAsia="黑体" w:cs="Times New Roman"/>
      <w:b/>
      <w:bCs/>
      <w:kern w:val="2"/>
      <w:sz w:val="24"/>
      <w:szCs w:val="24"/>
      <w:lang w:val="en-US" w:eastAsia="zh-CN" w:bidi="ar-SA"/>
    </w:rPr>
  </w:style>
  <w:style w:type="character" w:customStyle="1" w:styleId="65">
    <w:name w:val="Char Char11"/>
    <w:basedOn w:val="54"/>
    <w:qFormat/>
    <w:uiPriority w:val="0"/>
    <w:rPr>
      <w:rFonts w:ascii="宋体" w:hAnsi="宋体" w:cs="宋体"/>
      <w:color w:val="000000"/>
      <w:sz w:val="24"/>
      <w:szCs w:val="24"/>
    </w:rPr>
  </w:style>
  <w:style w:type="character" w:customStyle="1" w:styleId="66">
    <w:name w:val="Char Char12"/>
    <w:basedOn w:val="54"/>
    <w:qFormat/>
    <w:uiPriority w:val="0"/>
    <w:rPr>
      <w:rFonts w:ascii="宋体" w:hAnsi="Courier New" w:cs="Courier New"/>
      <w:kern w:val="2"/>
      <w:sz w:val="21"/>
      <w:szCs w:val="21"/>
    </w:rPr>
  </w:style>
  <w:style w:type="character" w:customStyle="1" w:styleId="67">
    <w:name w:val="unnamed1"/>
    <w:basedOn w:val="54"/>
    <w:qFormat/>
    <w:uiPriority w:val="0"/>
  </w:style>
  <w:style w:type="character" w:customStyle="1" w:styleId="68">
    <w:name w:val="style21"/>
    <w:basedOn w:val="54"/>
    <w:qFormat/>
    <w:uiPriority w:val="0"/>
    <w:rPr>
      <w:b/>
      <w:bCs/>
      <w:sz w:val="28"/>
      <w:szCs w:val="28"/>
    </w:rPr>
  </w:style>
  <w:style w:type="character" w:customStyle="1" w:styleId="69">
    <w:name w:val="标题 3 Char Char"/>
    <w:basedOn w:val="54"/>
    <w:qFormat/>
    <w:uiPriority w:val="0"/>
    <w:rPr>
      <w:rFonts w:eastAsia="宋体" w:cs="Times New Roman"/>
      <w:b/>
      <w:bCs/>
      <w:kern w:val="2"/>
      <w:sz w:val="32"/>
      <w:szCs w:val="32"/>
      <w:lang w:val="en-US" w:eastAsia="zh-CN" w:bidi="ar-SA"/>
    </w:rPr>
  </w:style>
  <w:style w:type="character" w:customStyle="1" w:styleId="70">
    <w:name w:val="Char Char64"/>
    <w:basedOn w:val="54"/>
    <w:qFormat/>
    <w:uiPriority w:val="0"/>
    <w:rPr>
      <w:rFonts w:ascii="宋体" w:hAnsi="宋体" w:eastAsia="宋体" w:cs="宋体"/>
      <w:color w:val="000000"/>
      <w:sz w:val="24"/>
      <w:szCs w:val="24"/>
      <w:lang w:val="en-US" w:eastAsia="zh-CN" w:bidi="ar-SA"/>
    </w:rPr>
  </w:style>
  <w:style w:type="character" w:customStyle="1" w:styleId="71">
    <w:name w:val="Char Char13"/>
    <w:basedOn w:val="54"/>
    <w:qFormat/>
    <w:uiPriority w:val="0"/>
    <w:rPr>
      <w:kern w:val="2"/>
      <w:sz w:val="18"/>
      <w:szCs w:val="18"/>
    </w:rPr>
  </w:style>
  <w:style w:type="character" w:customStyle="1" w:styleId="72">
    <w:name w:val="手改 Char Char"/>
    <w:basedOn w:val="54"/>
    <w:qFormat/>
    <w:uiPriority w:val="0"/>
    <w:rPr>
      <w:kern w:val="2"/>
      <w:sz w:val="21"/>
      <w:szCs w:val="24"/>
    </w:rPr>
  </w:style>
  <w:style w:type="character" w:customStyle="1" w:styleId="73">
    <w:name w:val="页脚 Char"/>
    <w:basedOn w:val="54"/>
    <w:link w:val="34"/>
    <w:qFormat/>
    <w:uiPriority w:val="0"/>
    <w:rPr>
      <w:rFonts w:eastAsia="宋体"/>
      <w:kern w:val="2"/>
      <w:sz w:val="18"/>
      <w:szCs w:val="18"/>
      <w:lang w:val="en-US" w:eastAsia="zh-CN" w:bidi="ar-SA"/>
    </w:rPr>
  </w:style>
  <w:style w:type="character" w:customStyle="1" w:styleId="74">
    <w:name w:val="Document Map Char1"/>
    <w:basedOn w:val="54"/>
    <w:qFormat/>
    <w:uiPriority w:val="0"/>
    <w:rPr>
      <w:rFonts w:cs="Times New Roman"/>
      <w:kern w:val="2"/>
      <w:sz w:val="2"/>
    </w:rPr>
  </w:style>
  <w:style w:type="character" w:customStyle="1" w:styleId="75">
    <w:name w:val="style161"/>
    <w:basedOn w:val="54"/>
    <w:qFormat/>
    <w:uiPriority w:val="0"/>
    <w:rPr>
      <w:b/>
      <w:bCs/>
      <w:color w:val="333333"/>
    </w:rPr>
  </w:style>
  <w:style w:type="character" w:customStyle="1" w:styleId="76">
    <w:name w:val="Char Char24"/>
    <w:basedOn w:val="54"/>
    <w:qFormat/>
    <w:uiPriority w:val="0"/>
    <w:rPr>
      <w:b/>
      <w:bCs/>
      <w:kern w:val="44"/>
      <w:sz w:val="44"/>
      <w:szCs w:val="44"/>
    </w:rPr>
  </w:style>
  <w:style w:type="character" w:customStyle="1" w:styleId="77">
    <w:name w:val="Char Char63"/>
    <w:basedOn w:val="54"/>
    <w:qFormat/>
    <w:uiPriority w:val="0"/>
    <w:rPr>
      <w:rFonts w:eastAsia="宋体" w:cs="Times New Roman"/>
      <w:kern w:val="2"/>
      <w:sz w:val="18"/>
      <w:szCs w:val="18"/>
      <w:lang w:val="en-US" w:eastAsia="zh-CN" w:bidi="ar-SA"/>
    </w:rPr>
  </w:style>
  <w:style w:type="character" w:customStyle="1" w:styleId="78">
    <w:name w:val="style121"/>
    <w:basedOn w:val="54"/>
    <w:qFormat/>
    <w:uiPriority w:val="0"/>
    <w:rPr>
      <w:rFonts w:hint="eastAsia" w:ascii="宋体" w:hAnsi="宋体" w:eastAsia="宋体"/>
      <w:sz w:val="18"/>
      <w:szCs w:val="18"/>
    </w:rPr>
  </w:style>
  <w:style w:type="character" w:customStyle="1" w:styleId="79">
    <w:name w:val="Char Char76"/>
    <w:basedOn w:val="54"/>
    <w:qFormat/>
    <w:uiPriority w:val="0"/>
    <w:rPr>
      <w:rFonts w:eastAsia="宋体" w:cs="Times New Roman"/>
      <w:sz w:val="24"/>
      <w:szCs w:val="24"/>
      <w:u w:val="single"/>
      <w:lang w:val="en-US" w:eastAsia="en-US" w:bidi="ar-SA"/>
    </w:rPr>
  </w:style>
  <w:style w:type="character" w:customStyle="1" w:styleId="80">
    <w:name w:val="font161"/>
    <w:basedOn w:val="54"/>
    <w:qFormat/>
    <w:uiPriority w:val="0"/>
    <w:rPr>
      <w:b/>
      <w:bCs/>
      <w:sz w:val="32"/>
      <w:szCs w:val="32"/>
    </w:rPr>
  </w:style>
  <w:style w:type="character" w:customStyle="1" w:styleId="81">
    <w:name w:val="style31"/>
    <w:basedOn w:val="54"/>
    <w:qFormat/>
    <w:uiPriority w:val="0"/>
    <w:rPr>
      <w:sz w:val="10"/>
      <w:szCs w:val="10"/>
    </w:rPr>
  </w:style>
  <w:style w:type="character" w:customStyle="1" w:styleId="82">
    <w:name w:val="Char Char34"/>
    <w:basedOn w:val="54"/>
    <w:qFormat/>
    <w:uiPriority w:val="0"/>
    <w:rPr>
      <w:rFonts w:eastAsia="宋体" w:cs="Times New Roman"/>
      <w:kern w:val="2"/>
      <w:sz w:val="18"/>
      <w:szCs w:val="18"/>
      <w:lang w:val="en-US" w:eastAsia="zh-CN" w:bidi="ar-SA"/>
    </w:rPr>
  </w:style>
  <w:style w:type="character" w:customStyle="1" w:styleId="83">
    <w:name w:val="Char Char3"/>
    <w:basedOn w:val="54"/>
    <w:qFormat/>
    <w:uiPriority w:val="0"/>
    <w:rPr>
      <w:rFonts w:ascii="Arial" w:hAnsi="Arial" w:cs="Arial"/>
      <w:sz w:val="18"/>
      <w:szCs w:val="18"/>
      <w:lang w:eastAsia="en-US"/>
    </w:rPr>
  </w:style>
  <w:style w:type="character" w:customStyle="1" w:styleId="84">
    <w:name w:val="Char Char32"/>
    <w:basedOn w:val="54"/>
    <w:qFormat/>
    <w:uiPriority w:val="0"/>
    <w:rPr>
      <w:rFonts w:ascii="宋体" w:hAnsi="宋体" w:eastAsia="宋体" w:cs="Times New Roman"/>
      <w:kern w:val="2"/>
      <w:sz w:val="24"/>
      <w:szCs w:val="24"/>
      <w:lang w:val="en-US" w:eastAsia="zh-CN" w:bidi="ar-SA"/>
    </w:rPr>
  </w:style>
  <w:style w:type="character" w:customStyle="1" w:styleId="85">
    <w:name w:val="批注文字 Char"/>
    <w:basedOn w:val="54"/>
    <w:link w:val="18"/>
    <w:qFormat/>
    <w:uiPriority w:val="0"/>
    <w:rPr>
      <w:rFonts w:eastAsia="宋体"/>
      <w:kern w:val="2"/>
      <w:sz w:val="21"/>
      <w:szCs w:val="24"/>
      <w:lang w:val="en-US" w:eastAsia="zh-CN" w:bidi="ar-SA"/>
    </w:rPr>
  </w:style>
  <w:style w:type="character" w:customStyle="1" w:styleId="86">
    <w:name w:val="标题 2 Char"/>
    <w:basedOn w:val="54"/>
    <w:link w:val="5"/>
    <w:qFormat/>
    <w:uiPriority w:val="0"/>
    <w:rPr>
      <w:rFonts w:ascii="Cambria" w:hAnsi="Cambria" w:eastAsia="宋体"/>
      <w:b/>
      <w:bCs/>
      <w:kern w:val="2"/>
      <w:sz w:val="32"/>
      <w:szCs w:val="32"/>
      <w:lang w:val="en-US" w:eastAsia="zh-CN" w:bidi="ar-SA"/>
    </w:rPr>
  </w:style>
  <w:style w:type="character" w:customStyle="1" w:styleId="87">
    <w:name w:val="正文文本缩进 3 Char"/>
    <w:basedOn w:val="54"/>
    <w:link w:val="41"/>
    <w:qFormat/>
    <w:uiPriority w:val="0"/>
    <w:rPr>
      <w:rFonts w:ascii="宋体" w:hAnsi="宋体" w:eastAsia="宋体"/>
      <w:kern w:val="2"/>
      <w:sz w:val="28"/>
      <w:szCs w:val="28"/>
      <w:lang w:val="en-US" w:eastAsia="zh-CN" w:bidi="ar-SA"/>
    </w:rPr>
  </w:style>
  <w:style w:type="character" w:customStyle="1" w:styleId="88">
    <w:name w:val="Char Char81"/>
    <w:basedOn w:val="54"/>
    <w:qFormat/>
    <w:uiPriority w:val="0"/>
    <w:rPr>
      <w:rFonts w:ascii="Arial" w:hAnsi="Arial" w:eastAsia="黑体" w:cs="Times New Roman"/>
      <w:b/>
      <w:bCs/>
      <w:kern w:val="2"/>
      <w:sz w:val="24"/>
      <w:szCs w:val="24"/>
      <w:lang w:val="en-US" w:eastAsia="zh-CN" w:bidi="ar-SA"/>
    </w:rPr>
  </w:style>
  <w:style w:type="character" w:customStyle="1" w:styleId="89">
    <w:name w:val="Char Char2"/>
    <w:basedOn w:val="54"/>
    <w:qFormat/>
    <w:uiPriority w:val="0"/>
    <w:rPr>
      <w:rFonts w:ascii="Arial" w:hAnsi="Arial" w:cs="Arial"/>
      <w:szCs w:val="24"/>
      <w:lang w:eastAsia="en-US"/>
    </w:rPr>
  </w:style>
  <w:style w:type="character" w:customStyle="1" w:styleId="90">
    <w:name w:val="副标题 Char"/>
    <w:basedOn w:val="54"/>
    <w:link w:val="38"/>
    <w:qFormat/>
    <w:uiPriority w:val="0"/>
    <w:rPr>
      <w:rFonts w:eastAsia="宋体"/>
      <w:szCs w:val="24"/>
      <w:u w:val="single"/>
      <w:lang w:val="en-US" w:eastAsia="en-US" w:bidi="ar-SA"/>
    </w:rPr>
  </w:style>
  <w:style w:type="character" w:customStyle="1" w:styleId="91">
    <w:name w:val="批注主题 Char"/>
    <w:basedOn w:val="85"/>
    <w:link w:val="50"/>
    <w:qFormat/>
    <w:uiPriority w:val="0"/>
    <w:rPr>
      <w:b/>
      <w:bCs/>
    </w:rPr>
  </w:style>
  <w:style w:type="character" w:customStyle="1" w:styleId="92">
    <w:name w:val="Char Char49"/>
    <w:basedOn w:val="54"/>
    <w:qFormat/>
    <w:uiPriority w:val="0"/>
    <w:rPr>
      <w:rFonts w:ascii="Arial" w:hAnsi="Arial" w:eastAsia="黑体" w:cs="Times New Roman"/>
      <w:kern w:val="2"/>
      <w:sz w:val="21"/>
      <w:szCs w:val="21"/>
      <w:lang w:val="en-US" w:eastAsia="zh-CN" w:bidi="ar-SA"/>
    </w:rPr>
  </w:style>
  <w:style w:type="character" w:customStyle="1" w:styleId="93">
    <w:name w:val="Char Char28"/>
    <w:basedOn w:val="54"/>
    <w:qFormat/>
    <w:uiPriority w:val="0"/>
    <w:rPr>
      <w:rFonts w:eastAsia="宋体" w:cs="Times New Roman"/>
      <w:b/>
      <w:bCs/>
      <w:kern w:val="44"/>
      <w:sz w:val="44"/>
      <w:szCs w:val="44"/>
      <w:lang w:val="en-US" w:eastAsia="zh-CN" w:bidi="ar-SA"/>
    </w:rPr>
  </w:style>
  <w:style w:type="character" w:customStyle="1" w:styleId="94">
    <w:name w:val="Char Char68"/>
    <w:basedOn w:val="54"/>
    <w:qFormat/>
    <w:uiPriority w:val="0"/>
    <w:rPr>
      <w:rFonts w:eastAsia="宋体" w:cs="Times New Roman"/>
      <w:kern w:val="2"/>
      <w:sz w:val="18"/>
      <w:szCs w:val="18"/>
      <w:lang w:val="en-US" w:eastAsia="zh-CN" w:bidi="ar-SA"/>
    </w:rPr>
  </w:style>
  <w:style w:type="character" w:customStyle="1" w:styleId="95">
    <w:name w:val="docpro"/>
    <w:basedOn w:val="54"/>
    <w:qFormat/>
    <w:uiPriority w:val="0"/>
  </w:style>
  <w:style w:type="character" w:customStyle="1" w:styleId="96">
    <w:name w:val="批注框文本 Char"/>
    <w:basedOn w:val="54"/>
    <w:link w:val="33"/>
    <w:qFormat/>
    <w:uiPriority w:val="0"/>
    <w:rPr>
      <w:rFonts w:eastAsia="宋体"/>
      <w:kern w:val="2"/>
      <w:sz w:val="18"/>
      <w:szCs w:val="18"/>
      <w:lang w:val="en-US" w:eastAsia="zh-CN" w:bidi="ar-SA"/>
    </w:rPr>
  </w:style>
  <w:style w:type="character" w:customStyle="1" w:styleId="97">
    <w:name w:val="Char Char1"/>
    <w:basedOn w:val="54"/>
    <w:qFormat/>
    <w:uiPriority w:val="0"/>
    <w:rPr>
      <w:rFonts w:eastAsia="宋体" w:cs="Times New Roman"/>
      <w:kern w:val="2"/>
      <w:sz w:val="18"/>
      <w:szCs w:val="18"/>
      <w:lang w:val="en-US" w:eastAsia="zh-CN" w:bidi="ar-SA"/>
    </w:rPr>
  </w:style>
  <w:style w:type="character" w:customStyle="1" w:styleId="98">
    <w:name w:val="Char Char67"/>
    <w:basedOn w:val="54"/>
    <w:qFormat/>
    <w:uiPriority w:val="0"/>
    <w:rPr>
      <w:rFonts w:eastAsia="宋体" w:cs="Times New Roman"/>
      <w:kern w:val="2"/>
      <w:sz w:val="24"/>
      <w:szCs w:val="24"/>
      <w:lang w:val="en-US" w:eastAsia="zh-CN" w:bidi="ar-SA"/>
    </w:rPr>
  </w:style>
  <w:style w:type="character" w:customStyle="1" w:styleId="99">
    <w:name w:val="main_tdbg_7601"/>
    <w:basedOn w:val="54"/>
    <w:qFormat/>
    <w:uiPriority w:val="0"/>
    <w:rPr>
      <w:sz w:val="14"/>
      <w:szCs w:val="14"/>
    </w:rPr>
  </w:style>
  <w:style w:type="character" w:customStyle="1" w:styleId="100">
    <w:name w:val="Char Char45"/>
    <w:basedOn w:val="54"/>
    <w:qFormat/>
    <w:uiPriority w:val="0"/>
    <w:rPr>
      <w:rFonts w:eastAsia="宋体" w:cs="Times New Roman"/>
      <w:kern w:val="2"/>
      <w:sz w:val="24"/>
      <w:szCs w:val="24"/>
      <w:lang w:val="en-US" w:eastAsia="zh-CN" w:bidi="ar-SA"/>
    </w:rPr>
  </w:style>
  <w:style w:type="character" w:customStyle="1" w:styleId="101">
    <w:name w:val="标题 4 Char"/>
    <w:basedOn w:val="54"/>
    <w:link w:val="7"/>
    <w:qFormat/>
    <w:uiPriority w:val="0"/>
    <w:rPr>
      <w:rFonts w:ascii="宋体" w:hAnsi="宋体" w:eastAsia="宋体" w:cs="宋体"/>
      <w:b/>
      <w:bCs/>
      <w:sz w:val="24"/>
      <w:szCs w:val="24"/>
      <w:lang w:val="en-US" w:eastAsia="zh-CN" w:bidi="ar-SA"/>
    </w:rPr>
  </w:style>
  <w:style w:type="character" w:customStyle="1" w:styleId="102">
    <w:name w:val="Char Char46"/>
    <w:basedOn w:val="54"/>
    <w:qFormat/>
    <w:uiPriority w:val="0"/>
    <w:rPr>
      <w:rFonts w:eastAsia="宋体" w:cs="Times New Roman"/>
      <w:sz w:val="24"/>
      <w:lang w:val="en-US" w:eastAsia="zh-CN" w:bidi="ar-SA"/>
    </w:rPr>
  </w:style>
  <w:style w:type="character" w:customStyle="1" w:styleId="103">
    <w:name w:val="正文文本缩进 Char"/>
    <w:basedOn w:val="54"/>
    <w:link w:val="21"/>
    <w:qFormat/>
    <w:uiPriority w:val="0"/>
    <w:rPr>
      <w:rFonts w:eastAsia="宋体"/>
      <w:kern w:val="2"/>
      <w:sz w:val="21"/>
      <w:szCs w:val="24"/>
      <w:lang w:val="en-US" w:eastAsia="zh-CN" w:bidi="ar-SA"/>
    </w:rPr>
  </w:style>
  <w:style w:type="character" w:customStyle="1" w:styleId="104">
    <w:name w:val="Char Char78"/>
    <w:basedOn w:val="54"/>
    <w:qFormat/>
    <w:uiPriority w:val="0"/>
    <w:rPr>
      <w:rFonts w:ascii="Arial" w:hAnsi="Arial" w:eastAsia="黑体" w:cs="Times New Roman"/>
      <w:kern w:val="2"/>
      <w:sz w:val="21"/>
      <w:szCs w:val="21"/>
      <w:lang w:val="en-US" w:eastAsia="zh-CN" w:bidi="ar-SA"/>
    </w:rPr>
  </w:style>
  <w:style w:type="character" w:customStyle="1" w:styleId="105">
    <w:name w:val="Char Char58"/>
    <w:basedOn w:val="54"/>
    <w:qFormat/>
    <w:uiPriority w:val="0"/>
    <w:rPr>
      <w:rFonts w:cs="Times New Roman"/>
      <w:kern w:val="2"/>
      <w:sz w:val="16"/>
      <w:szCs w:val="16"/>
    </w:rPr>
  </w:style>
  <w:style w:type="character" w:customStyle="1" w:styleId="106">
    <w:name w:val="Char Char25"/>
    <w:basedOn w:val="54"/>
    <w:qFormat/>
    <w:uiPriority w:val="0"/>
    <w:rPr>
      <w:rFonts w:ascii="Arial" w:hAnsi="Arial" w:eastAsia="黑体" w:cs="Times New Roman"/>
      <w:b/>
      <w:bCs/>
      <w:kern w:val="2"/>
      <w:sz w:val="28"/>
      <w:szCs w:val="28"/>
      <w:lang w:val="en-US" w:eastAsia="zh-CN" w:bidi="ar-SA"/>
    </w:rPr>
  </w:style>
  <w:style w:type="character" w:customStyle="1" w:styleId="107">
    <w:name w:val="Char Char30"/>
    <w:basedOn w:val="54"/>
    <w:qFormat/>
    <w:uiPriority w:val="0"/>
    <w:rPr>
      <w:rFonts w:eastAsia="宋体" w:cs="Times New Roman"/>
      <w:sz w:val="24"/>
      <w:lang w:val="en-US" w:eastAsia="zh-CN" w:bidi="ar-SA"/>
    </w:rPr>
  </w:style>
  <w:style w:type="character" w:customStyle="1" w:styleId="108">
    <w:name w:val="Char Char40"/>
    <w:basedOn w:val="54"/>
    <w:qFormat/>
    <w:uiPriority w:val="0"/>
    <w:rPr>
      <w:rFonts w:ascii="宋体" w:hAnsi="宋体" w:eastAsia="宋体" w:cs="Times New Roman"/>
      <w:kern w:val="2"/>
      <w:sz w:val="24"/>
      <w:szCs w:val="24"/>
      <w:lang w:val="en-US" w:eastAsia="zh-CN" w:bidi="ar-SA"/>
    </w:rPr>
  </w:style>
  <w:style w:type="character" w:customStyle="1" w:styleId="109">
    <w:name w:val="样式3 Char Char"/>
    <w:basedOn w:val="69"/>
    <w:qFormat/>
    <w:uiPriority w:val="0"/>
    <w:rPr>
      <w:rFonts w:ascii="宋体" w:hAnsi="宋体" w:eastAsia="仿宋_GB2312"/>
    </w:rPr>
  </w:style>
  <w:style w:type="character" w:customStyle="1" w:styleId="110">
    <w:name w:val="Char Char6"/>
    <w:basedOn w:val="54"/>
    <w:qFormat/>
    <w:uiPriority w:val="0"/>
    <w:rPr>
      <w:rFonts w:ascii="宋体" w:hAnsi="宋体"/>
      <w:kern w:val="2"/>
      <w:sz w:val="28"/>
      <w:szCs w:val="28"/>
    </w:rPr>
  </w:style>
  <w:style w:type="character" w:customStyle="1" w:styleId="111">
    <w:name w:val="Char Char31"/>
    <w:basedOn w:val="54"/>
    <w:qFormat/>
    <w:uiPriority w:val="0"/>
    <w:rPr>
      <w:rFonts w:eastAsia="宋体" w:cs="Times New Roman"/>
      <w:kern w:val="2"/>
      <w:sz w:val="18"/>
      <w:szCs w:val="18"/>
      <w:lang w:val="en-US" w:eastAsia="zh-CN" w:bidi="ar-SA"/>
    </w:rPr>
  </w:style>
  <w:style w:type="character" w:customStyle="1" w:styleId="112">
    <w:name w:val="ht1"/>
    <w:basedOn w:val="54"/>
    <w:qFormat/>
    <w:uiPriority w:val="0"/>
    <w:rPr>
      <w:rFonts w:ascii="黑体" w:eastAsia="黑体"/>
      <w:b/>
      <w:bCs/>
    </w:rPr>
  </w:style>
  <w:style w:type="character" w:customStyle="1" w:styleId="113">
    <w:name w:val="正文文本 2 Char"/>
    <w:basedOn w:val="54"/>
    <w:link w:val="45"/>
    <w:qFormat/>
    <w:uiPriority w:val="0"/>
    <w:rPr>
      <w:rFonts w:eastAsia="宋体"/>
      <w:i/>
      <w:iCs/>
      <w:kern w:val="2"/>
      <w:sz w:val="26"/>
      <w:szCs w:val="24"/>
      <w:lang w:val="en-US" w:eastAsia="zh-CN" w:bidi="ar-SA"/>
    </w:rPr>
  </w:style>
  <w:style w:type="character" w:customStyle="1" w:styleId="114">
    <w:name w:val="ss16"/>
    <w:basedOn w:val="54"/>
    <w:qFormat/>
    <w:uiPriority w:val="0"/>
    <w:rPr>
      <w:rFonts w:hint="eastAsia" w:ascii="宋体" w:hAnsi="宋体" w:eastAsia="宋体"/>
      <w:color w:val="000000"/>
      <w:sz w:val="9"/>
      <w:szCs w:val="9"/>
    </w:rPr>
  </w:style>
  <w:style w:type="character" w:customStyle="1" w:styleId="115">
    <w:name w:val="Char Char36"/>
    <w:basedOn w:val="116"/>
    <w:qFormat/>
    <w:uiPriority w:val="0"/>
    <w:rPr>
      <w:b/>
      <w:bCs/>
      <w:kern w:val="2"/>
      <w:szCs w:val="24"/>
    </w:rPr>
  </w:style>
  <w:style w:type="character" w:customStyle="1" w:styleId="116">
    <w:name w:val="Char Char42"/>
    <w:basedOn w:val="54"/>
    <w:qFormat/>
    <w:uiPriority w:val="0"/>
    <w:rPr>
      <w:rFonts w:eastAsia="宋体" w:cs="Times New Roman"/>
      <w:sz w:val="24"/>
      <w:lang w:val="en-US" w:eastAsia="zh-CN" w:bidi="ar-SA"/>
    </w:rPr>
  </w:style>
  <w:style w:type="character" w:customStyle="1" w:styleId="117">
    <w:name w:val="Char Char33"/>
    <w:basedOn w:val="54"/>
    <w:qFormat/>
    <w:uiPriority w:val="0"/>
    <w:rPr>
      <w:rFonts w:ascii="宋体" w:hAnsi="Courier New" w:eastAsia="宋体" w:cs="Times New Roman"/>
      <w:kern w:val="2"/>
      <w:sz w:val="21"/>
      <w:szCs w:val="21"/>
      <w:lang w:val="en-US" w:eastAsia="zh-CN" w:bidi="ar-SA"/>
    </w:rPr>
  </w:style>
  <w:style w:type="character" w:customStyle="1" w:styleId="118">
    <w:name w:val="Char Char61"/>
    <w:basedOn w:val="54"/>
    <w:qFormat/>
    <w:uiPriority w:val="0"/>
    <w:rPr>
      <w:rFonts w:ascii="宋体" w:hAnsi="宋体" w:eastAsia="宋体" w:cs="Times New Roman"/>
      <w:kern w:val="2"/>
      <w:sz w:val="24"/>
      <w:szCs w:val="24"/>
      <w:lang w:val="en-US" w:eastAsia="zh-CN" w:bidi="ar-SA"/>
    </w:rPr>
  </w:style>
  <w:style w:type="character" w:customStyle="1" w:styleId="119">
    <w:name w:val="Char Char8"/>
    <w:basedOn w:val="54"/>
    <w:qFormat/>
    <w:uiPriority w:val="0"/>
    <w:rPr>
      <w:kern w:val="2"/>
      <w:sz w:val="18"/>
      <w:szCs w:val="18"/>
    </w:rPr>
  </w:style>
  <w:style w:type="character" w:customStyle="1" w:styleId="120">
    <w:name w:val="标题 7 Char"/>
    <w:basedOn w:val="54"/>
    <w:link w:val="11"/>
    <w:qFormat/>
    <w:uiPriority w:val="0"/>
    <w:rPr>
      <w:rFonts w:eastAsia="仿宋_GB2312"/>
      <w:sz w:val="30"/>
      <w:lang w:val="en-US" w:eastAsia="zh-CN" w:bidi="ar-SA"/>
    </w:rPr>
  </w:style>
  <w:style w:type="character" w:customStyle="1" w:styleId="121">
    <w:name w:val="Char Char56"/>
    <w:basedOn w:val="54"/>
    <w:qFormat/>
    <w:uiPriority w:val="0"/>
    <w:rPr>
      <w:rFonts w:ascii="Arial" w:hAnsi="Arial" w:eastAsia="黑体" w:cs="Times New Roman"/>
      <w:b/>
      <w:bCs/>
      <w:kern w:val="2"/>
      <w:sz w:val="32"/>
      <w:szCs w:val="32"/>
      <w:lang w:val="en-US" w:eastAsia="zh-CN" w:bidi="ar-SA"/>
    </w:rPr>
  </w:style>
  <w:style w:type="character" w:customStyle="1" w:styleId="122">
    <w:name w:val="Char Char29"/>
    <w:basedOn w:val="54"/>
    <w:qFormat/>
    <w:uiPriority w:val="0"/>
    <w:rPr>
      <w:rFonts w:cs="Times New Roman"/>
      <w:kern w:val="2"/>
      <w:sz w:val="16"/>
      <w:szCs w:val="16"/>
    </w:rPr>
  </w:style>
  <w:style w:type="character" w:customStyle="1" w:styleId="123">
    <w:name w:val="Char Char59"/>
    <w:basedOn w:val="54"/>
    <w:qFormat/>
    <w:uiPriority w:val="0"/>
    <w:rPr>
      <w:rFonts w:eastAsia="宋体" w:cs="Times New Roman"/>
      <w:sz w:val="24"/>
      <w:lang w:val="en-US" w:eastAsia="zh-CN" w:bidi="ar-SA"/>
    </w:rPr>
  </w:style>
  <w:style w:type="character" w:customStyle="1" w:styleId="124">
    <w:name w:val="正文文本 3 Char"/>
    <w:basedOn w:val="54"/>
    <w:link w:val="19"/>
    <w:qFormat/>
    <w:uiPriority w:val="0"/>
    <w:rPr>
      <w:rFonts w:eastAsia="宋体"/>
      <w:kern w:val="2"/>
      <w:sz w:val="16"/>
      <w:szCs w:val="16"/>
      <w:lang w:val="en-US" w:eastAsia="zh-CN" w:bidi="ar-SA"/>
    </w:rPr>
  </w:style>
  <w:style w:type="character" w:customStyle="1" w:styleId="125">
    <w:name w:val="Char Char54"/>
    <w:basedOn w:val="54"/>
    <w:qFormat/>
    <w:uiPriority w:val="0"/>
    <w:rPr>
      <w:rFonts w:ascii="Arial" w:hAnsi="Arial" w:eastAsia="黑体" w:cs="Times New Roman"/>
      <w:b/>
      <w:bCs/>
      <w:kern w:val="2"/>
      <w:sz w:val="28"/>
      <w:szCs w:val="28"/>
      <w:lang w:val="en-US" w:eastAsia="zh-CN" w:bidi="ar-SA"/>
    </w:rPr>
  </w:style>
  <w:style w:type="character" w:customStyle="1" w:styleId="126">
    <w:name w:val="Char Char27"/>
    <w:basedOn w:val="54"/>
    <w:qFormat/>
    <w:uiPriority w:val="0"/>
    <w:rPr>
      <w:rFonts w:ascii="Arial" w:hAnsi="Arial" w:eastAsia="黑体" w:cs="Times New Roman"/>
      <w:b/>
      <w:bCs/>
      <w:kern w:val="2"/>
      <w:sz w:val="32"/>
      <w:szCs w:val="32"/>
      <w:lang w:val="en-US" w:eastAsia="zh-CN" w:bidi="ar-SA"/>
    </w:rPr>
  </w:style>
  <w:style w:type="character" w:customStyle="1" w:styleId="127">
    <w:name w:val="Char Char20"/>
    <w:basedOn w:val="54"/>
    <w:qFormat/>
    <w:uiPriority w:val="0"/>
    <w:rPr>
      <w:rFonts w:ascii="宋体" w:hAnsi="宋体" w:cs="宋体"/>
      <w:b/>
      <w:bCs/>
    </w:rPr>
  </w:style>
  <w:style w:type="character" w:customStyle="1" w:styleId="128">
    <w:name w:val="正文首行缩进 2 Char"/>
    <w:basedOn w:val="129"/>
    <w:link w:val="52"/>
    <w:qFormat/>
    <w:uiPriority w:val="0"/>
  </w:style>
  <w:style w:type="character" w:customStyle="1" w:styleId="129">
    <w:name w:val="Char Char69"/>
    <w:basedOn w:val="54"/>
    <w:qFormat/>
    <w:uiPriority w:val="0"/>
    <w:rPr>
      <w:rFonts w:ascii="宋体" w:hAnsi="宋体" w:eastAsia="宋体" w:cs="Times New Roman"/>
      <w:kern w:val="2"/>
      <w:sz w:val="24"/>
      <w:szCs w:val="24"/>
      <w:lang w:val="en-US" w:eastAsia="zh-CN" w:bidi="ar-SA"/>
    </w:rPr>
  </w:style>
  <w:style w:type="character" w:customStyle="1" w:styleId="130">
    <w:name w:val="Footnote Text Char1"/>
    <w:basedOn w:val="54"/>
    <w:qFormat/>
    <w:uiPriority w:val="0"/>
    <w:rPr>
      <w:rFonts w:cs="Times New Roman"/>
      <w:kern w:val="2"/>
      <w:sz w:val="18"/>
      <w:szCs w:val="18"/>
    </w:rPr>
  </w:style>
  <w:style w:type="character" w:customStyle="1" w:styleId="131">
    <w:name w:val="文档结构图 Char"/>
    <w:basedOn w:val="54"/>
    <w:link w:val="17"/>
    <w:qFormat/>
    <w:uiPriority w:val="0"/>
    <w:rPr>
      <w:rFonts w:eastAsia="宋体"/>
      <w:kern w:val="2"/>
      <w:sz w:val="21"/>
      <w:szCs w:val="24"/>
      <w:lang w:val="en-US" w:eastAsia="zh-CN" w:bidi="ar-SA"/>
    </w:rPr>
  </w:style>
  <w:style w:type="character" w:customStyle="1" w:styleId="132">
    <w:name w:val="Char Char17"/>
    <w:basedOn w:val="54"/>
    <w:qFormat/>
    <w:uiPriority w:val="0"/>
    <w:rPr>
      <w:rFonts w:hAnsi="Arial" w:eastAsia="仿宋_GB2312"/>
      <w:sz w:val="30"/>
    </w:rPr>
  </w:style>
  <w:style w:type="character" w:customStyle="1" w:styleId="133">
    <w:name w:val="Char Char35"/>
    <w:basedOn w:val="54"/>
    <w:qFormat/>
    <w:uiPriority w:val="0"/>
    <w:rPr>
      <w:rFonts w:ascii="宋体" w:hAnsi="宋体" w:eastAsia="宋体" w:cs="宋体"/>
      <w:color w:val="000000"/>
      <w:sz w:val="24"/>
      <w:szCs w:val="24"/>
      <w:lang w:val="en-US" w:eastAsia="zh-CN" w:bidi="ar-SA"/>
    </w:rPr>
  </w:style>
  <w:style w:type="character" w:customStyle="1" w:styleId="134">
    <w:name w:val="Char Char7"/>
    <w:basedOn w:val="54"/>
    <w:qFormat/>
    <w:uiPriority w:val="0"/>
    <w:rPr>
      <w:sz w:val="28"/>
      <w:szCs w:val="24"/>
    </w:rPr>
  </w:style>
  <w:style w:type="character" w:customStyle="1" w:styleId="135">
    <w:name w:val="Char Char14"/>
    <w:basedOn w:val="54"/>
    <w:qFormat/>
    <w:uiPriority w:val="0"/>
    <w:rPr>
      <w:kern w:val="2"/>
      <w:sz w:val="18"/>
      <w:szCs w:val="18"/>
    </w:rPr>
  </w:style>
  <w:style w:type="character" w:customStyle="1" w:styleId="136">
    <w:name w:val="Char Char47"/>
    <w:basedOn w:val="54"/>
    <w:qFormat/>
    <w:uiPriority w:val="0"/>
    <w:rPr>
      <w:rFonts w:eastAsia="宋体" w:cs="Times New Roman"/>
      <w:sz w:val="24"/>
      <w:szCs w:val="24"/>
      <w:u w:val="single"/>
      <w:lang w:val="en-US" w:eastAsia="en-US" w:bidi="ar-SA"/>
    </w:rPr>
  </w:style>
  <w:style w:type="character" w:customStyle="1" w:styleId="137">
    <w:name w:val="Char Char151"/>
    <w:basedOn w:val="54"/>
    <w:qFormat/>
    <w:uiPriority w:val="0"/>
    <w:rPr>
      <w:kern w:val="2"/>
      <w:sz w:val="16"/>
      <w:szCs w:val="16"/>
    </w:rPr>
  </w:style>
  <w:style w:type="character" w:customStyle="1" w:styleId="138">
    <w:name w:val="Plain Text Char"/>
    <w:basedOn w:val="54"/>
    <w:qFormat/>
    <w:uiPriority w:val="0"/>
    <w:rPr>
      <w:rFonts w:ascii="宋体" w:hAnsi="Courier New" w:cs="Courier New"/>
      <w:kern w:val="2"/>
      <w:sz w:val="21"/>
      <w:szCs w:val="21"/>
    </w:rPr>
  </w:style>
  <w:style w:type="character" w:customStyle="1" w:styleId="139">
    <w:name w:val="Char Char60"/>
    <w:basedOn w:val="54"/>
    <w:qFormat/>
    <w:uiPriority w:val="0"/>
    <w:rPr>
      <w:rFonts w:eastAsia="宋体" w:cs="Times New Roman"/>
      <w:kern w:val="2"/>
      <w:sz w:val="18"/>
      <w:szCs w:val="18"/>
      <w:lang w:val="en-US" w:eastAsia="zh-CN" w:bidi="ar-SA"/>
    </w:rPr>
  </w:style>
  <w:style w:type="character" w:customStyle="1" w:styleId="140">
    <w:name w:val="Char Char5"/>
    <w:basedOn w:val="54"/>
    <w:qFormat/>
    <w:uiPriority w:val="0"/>
    <w:rPr>
      <w:szCs w:val="24"/>
      <w:u w:val="single"/>
      <w:lang w:eastAsia="en-US"/>
    </w:rPr>
  </w:style>
  <w:style w:type="character" w:customStyle="1" w:styleId="141">
    <w:name w:val="Char Char55"/>
    <w:basedOn w:val="54"/>
    <w:qFormat/>
    <w:uiPriority w:val="0"/>
    <w:rPr>
      <w:rFonts w:eastAsia="宋体" w:cs="Times New Roman"/>
      <w:b/>
      <w:bCs/>
      <w:kern w:val="2"/>
      <w:sz w:val="32"/>
      <w:szCs w:val="32"/>
      <w:lang w:val="en-US" w:eastAsia="zh-CN" w:bidi="ar-SA"/>
    </w:rPr>
  </w:style>
  <w:style w:type="character" w:customStyle="1" w:styleId="142">
    <w:name w:val="HTML 预设格式 Char"/>
    <w:basedOn w:val="54"/>
    <w:link w:val="46"/>
    <w:qFormat/>
    <w:uiPriority w:val="0"/>
    <w:rPr>
      <w:rFonts w:ascii="宋体" w:hAnsi="宋体" w:eastAsia="宋体" w:cs="宋体"/>
      <w:color w:val="000000"/>
      <w:sz w:val="24"/>
      <w:szCs w:val="24"/>
      <w:lang w:val="en-US" w:eastAsia="zh-CN" w:bidi="ar-SA"/>
    </w:rPr>
  </w:style>
  <w:style w:type="character" w:customStyle="1" w:styleId="143">
    <w:name w:val="标题 Char"/>
    <w:basedOn w:val="54"/>
    <w:link w:val="49"/>
    <w:qFormat/>
    <w:uiPriority w:val="0"/>
    <w:rPr>
      <w:rFonts w:eastAsia="宋体"/>
      <w:szCs w:val="24"/>
      <w:u w:val="single"/>
      <w:lang w:val="en-US" w:eastAsia="en-US" w:bidi="ar-SA"/>
    </w:rPr>
  </w:style>
  <w:style w:type="character" w:customStyle="1" w:styleId="144">
    <w:name w:val="Char Char10"/>
    <w:basedOn w:val="54"/>
    <w:qFormat/>
    <w:uiPriority w:val="0"/>
    <w:rPr>
      <w:kern w:val="2"/>
      <w:sz w:val="21"/>
      <w:szCs w:val="24"/>
    </w:rPr>
  </w:style>
  <w:style w:type="character" w:customStyle="1" w:styleId="145">
    <w:name w:val="color_red1"/>
    <w:basedOn w:val="54"/>
    <w:qFormat/>
    <w:uiPriority w:val="0"/>
    <w:rPr>
      <w:color w:val="FA0004"/>
    </w:rPr>
  </w:style>
  <w:style w:type="character" w:customStyle="1" w:styleId="146">
    <w:name w:val="Char Char Char"/>
    <w:basedOn w:val="54"/>
    <w:qFormat/>
    <w:uiPriority w:val="0"/>
    <w:rPr>
      <w:kern w:val="2"/>
      <w:sz w:val="21"/>
      <w:szCs w:val="24"/>
      <w:shd w:val="clear" w:color="auto" w:fill="000080"/>
    </w:rPr>
  </w:style>
  <w:style w:type="character" w:customStyle="1" w:styleId="147">
    <w:name w:val="脚注文本 Char"/>
    <w:basedOn w:val="54"/>
    <w:link w:val="39"/>
    <w:qFormat/>
    <w:uiPriority w:val="0"/>
    <w:rPr>
      <w:rFonts w:ascii="Arial" w:hAnsi="Arial" w:eastAsia="宋体" w:cs="Arial"/>
      <w:sz w:val="18"/>
      <w:szCs w:val="18"/>
      <w:lang w:val="en-US" w:eastAsia="en-US" w:bidi="ar-SA"/>
    </w:rPr>
  </w:style>
  <w:style w:type="character" w:customStyle="1" w:styleId="148">
    <w:name w:val="normaltext1"/>
    <w:basedOn w:val="54"/>
    <w:qFormat/>
    <w:uiPriority w:val="0"/>
    <w:rPr>
      <w:rFonts w:hint="default" w:ascii="ˎ̥" w:hAnsi="ˎ̥"/>
      <w:sz w:val="9"/>
      <w:szCs w:val="9"/>
    </w:rPr>
  </w:style>
  <w:style w:type="character" w:customStyle="1" w:styleId="149">
    <w:name w:val="标题 9 Char"/>
    <w:basedOn w:val="54"/>
    <w:link w:val="13"/>
    <w:qFormat/>
    <w:uiPriority w:val="0"/>
    <w:rPr>
      <w:rFonts w:eastAsia="仿宋_GB2312"/>
      <w:sz w:val="30"/>
      <w:lang w:val="en-US" w:eastAsia="zh-CN" w:bidi="ar-SA"/>
    </w:rPr>
  </w:style>
  <w:style w:type="character" w:customStyle="1" w:styleId="150">
    <w:name w:val="Char Char111"/>
    <w:basedOn w:val="54"/>
    <w:qFormat/>
    <w:uiPriority w:val="0"/>
    <w:rPr>
      <w:rFonts w:eastAsia="黑体"/>
      <w:kern w:val="2"/>
      <w:sz w:val="44"/>
      <w:szCs w:val="44"/>
      <w:lang w:val="en-US" w:eastAsia="zh-CN" w:bidi="ar-SA"/>
    </w:rPr>
  </w:style>
  <w:style w:type="character" w:customStyle="1" w:styleId="151">
    <w:name w:val="0d1471"/>
    <w:basedOn w:val="54"/>
    <w:qFormat/>
    <w:uiPriority w:val="0"/>
    <w:rPr>
      <w:color w:val="000000"/>
      <w:sz w:val="11"/>
      <w:szCs w:val="11"/>
      <w:u w:val="none"/>
    </w:rPr>
  </w:style>
  <w:style w:type="character" w:customStyle="1" w:styleId="152">
    <w:name w:val="Char Char4"/>
    <w:basedOn w:val="54"/>
    <w:qFormat/>
    <w:uiPriority w:val="0"/>
    <w:rPr>
      <w:szCs w:val="24"/>
      <w:u w:val="single"/>
      <w:lang w:eastAsia="en-US"/>
    </w:rPr>
  </w:style>
  <w:style w:type="character" w:customStyle="1" w:styleId="153">
    <w:name w:val="Char Char83"/>
    <w:basedOn w:val="54"/>
    <w:qFormat/>
    <w:uiPriority w:val="0"/>
    <w:rPr>
      <w:rFonts w:ascii="Arial" w:hAnsi="Arial" w:eastAsia="黑体" w:cs="Times New Roman"/>
      <w:b/>
      <w:bCs/>
      <w:kern w:val="2"/>
      <w:sz w:val="28"/>
      <w:szCs w:val="28"/>
      <w:lang w:val="en-US" w:eastAsia="zh-CN" w:bidi="ar-SA"/>
    </w:rPr>
  </w:style>
  <w:style w:type="character" w:customStyle="1" w:styleId="154">
    <w:name w:val="标题 8 Char"/>
    <w:basedOn w:val="54"/>
    <w:link w:val="12"/>
    <w:qFormat/>
    <w:uiPriority w:val="0"/>
    <w:rPr>
      <w:rFonts w:hAnsi="Arial" w:eastAsia="仿宋_GB2312"/>
      <w:sz w:val="30"/>
      <w:lang w:val="en-US" w:eastAsia="zh-CN" w:bidi="ar-SA"/>
    </w:rPr>
  </w:style>
  <w:style w:type="character" w:customStyle="1" w:styleId="155">
    <w:name w:val="标题 3 Char"/>
    <w:basedOn w:val="54"/>
    <w:link w:val="6"/>
    <w:qFormat/>
    <w:uiPriority w:val="0"/>
    <w:rPr>
      <w:rFonts w:ascii="Times New Roman" w:hAnsi="Times New Roman" w:eastAsia="宋体"/>
      <w:b/>
      <w:bCs/>
      <w:kern w:val="2"/>
      <w:sz w:val="32"/>
      <w:szCs w:val="32"/>
      <w:lang w:val="en-US" w:eastAsia="zh-CN" w:bidi="ar-SA"/>
    </w:rPr>
  </w:style>
  <w:style w:type="character" w:customStyle="1" w:styleId="156">
    <w:name w:val="纯文本 Char"/>
    <w:basedOn w:val="54"/>
    <w:link w:val="27"/>
    <w:qFormat/>
    <w:uiPriority w:val="0"/>
    <w:rPr>
      <w:rFonts w:ascii="宋体" w:hAnsi="Courier New" w:eastAsia="宋体" w:cs="Courier New"/>
      <w:kern w:val="2"/>
      <w:sz w:val="21"/>
      <w:szCs w:val="21"/>
      <w:lang w:val="en-US" w:eastAsia="zh-CN" w:bidi="ar-SA"/>
    </w:rPr>
  </w:style>
  <w:style w:type="character" w:customStyle="1" w:styleId="157">
    <w:name w:val="标题5 Char Char"/>
    <w:link w:val="158"/>
    <w:qFormat/>
    <w:uiPriority w:val="0"/>
    <w:rPr>
      <w:rFonts w:ascii="Arial" w:hAnsi="Arial"/>
      <w:b/>
      <w:sz w:val="32"/>
      <w:lang w:bidi="ar-SA"/>
    </w:rPr>
  </w:style>
  <w:style w:type="paragraph" w:customStyle="1" w:styleId="158">
    <w:name w:val="标题5"/>
    <w:basedOn w:val="6"/>
    <w:link w:val="157"/>
    <w:qFormat/>
    <w:uiPriority w:val="0"/>
    <w:pPr>
      <w:spacing w:line="413" w:lineRule="auto"/>
    </w:pPr>
    <w:rPr>
      <w:rFonts w:ascii="Arial" w:hAnsi="Arial"/>
      <w:bCs w:val="0"/>
      <w:kern w:val="0"/>
      <w:szCs w:val="20"/>
    </w:rPr>
  </w:style>
  <w:style w:type="character" w:customStyle="1" w:styleId="159">
    <w:name w:val="Char Char26"/>
    <w:basedOn w:val="54"/>
    <w:qFormat/>
    <w:uiPriority w:val="0"/>
    <w:rPr>
      <w:rFonts w:eastAsia="宋体" w:cs="Times New Roman"/>
      <w:b/>
      <w:bCs/>
      <w:kern w:val="2"/>
      <w:sz w:val="32"/>
      <w:szCs w:val="32"/>
      <w:lang w:val="en-US" w:eastAsia="zh-CN" w:bidi="ar-SA"/>
    </w:rPr>
  </w:style>
  <w:style w:type="character" w:customStyle="1" w:styleId="160">
    <w:name w:val="Char Char48"/>
    <w:basedOn w:val="108"/>
    <w:qFormat/>
    <w:uiPriority w:val="0"/>
  </w:style>
  <w:style w:type="character" w:customStyle="1" w:styleId="161">
    <w:name w:val="Char Char70"/>
    <w:basedOn w:val="54"/>
    <w:qFormat/>
    <w:uiPriority w:val="0"/>
    <w:rPr>
      <w:rFonts w:eastAsia="宋体" w:cs="Times New Roman"/>
      <w:kern w:val="2"/>
      <w:sz w:val="18"/>
      <w:szCs w:val="18"/>
      <w:lang w:val="en-US" w:eastAsia="zh-CN" w:bidi="ar-SA"/>
    </w:rPr>
  </w:style>
  <w:style w:type="character" w:customStyle="1" w:styleId="162">
    <w:name w:val="Char Char53"/>
    <w:basedOn w:val="54"/>
    <w:qFormat/>
    <w:uiPriority w:val="0"/>
    <w:rPr>
      <w:rFonts w:eastAsia="宋体" w:cs="Times New Roman"/>
      <w:b/>
      <w:bCs/>
      <w:kern w:val="2"/>
      <w:sz w:val="28"/>
      <w:szCs w:val="28"/>
      <w:lang w:val="en-US" w:eastAsia="zh-CN" w:bidi="ar-SA"/>
    </w:rPr>
  </w:style>
  <w:style w:type="character" w:customStyle="1" w:styleId="163">
    <w:name w:val="Char Char71"/>
    <w:basedOn w:val="54"/>
    <w:qFormat/>
    <w:uiPriority w:val="0"/>
    <w:rPr>
      <w:rFonts w:eastAsia="宋体" w:cs="Times New Roman"/>
      <w:sz w:val="24"/>
      <w:lang w:val="en-US" w:eastAsia="zh-CN" w:bidi="ar-SA"/>
    </w:rPr>
  </w:style>
  <w:style w:type="character" w:customStyle="1" w:styleId="164">
    <w:name w:val="Char Char80"/>
    <w:basedOn w:val="54"/>
    <w:qFormat/>
    <w:uiPriority w:val="0"/>
    <w:rPr>
      <w:rFonts w:eastAsia="宋体" w:cs="Times New Roman"/>
      <w:b/>
      <w:bCs/>
      <w:kern w:val="2"/>
      <w:sz w:val="24"/>
      <w:szCs w:val="24"/>
      <w:lang w:val="en-US" w:eastAsia="zh-CN" w:bidi="ar-SA"/>
    </w:rPr>
  </w:style>
  <w:style w:type="character" w:customStyle="1" w:styleId="165">
    <w:name w:val="标题 1 Char"/>
    <w:basedOn w:val="54"/>
    <w:link w:val="4"/>
    <w:qFormat/>
    <w:uiPriority w:val="0"/>
    <w:rPr>
      <w:rFonts w:eastAsia="宋体"/>
      <w:b/>
      <w:bCs/>
      <w:kern w:val="44"/>
      <w:sz w:val="44"/>
      <w:szCs w:val="44"/>
      <w:lang w:val="en-US" w:eastAsia="zh-CN" w:bidi="ar-SA"/>
    </w:rPr>
  </w:style>
  <w:style w:type="character" w:customStyle="1" w:styleId="166">
    <w:name w:val="Char Char18"/>
    <w:basedOn w:val="54"/>
    <w:qFormat/>
    <w:uiPriority w:val="0"/>
    <w:rPr>
      <w:rFonts w:eastAsia="仿宋_GB2312"/>
      <w:sz w:val="30"/>
    </w:rPr>
  </w:style>
  <w:style w:type="character" w:customStyle="1" w:styleId="167">
    <w:name w:val="Char Char82"/>
    <w:basedOn w:val="54"/>
    <w:qFormat/>
    <w:uiPriority w:val="0"/>
    <w:rPr>
      <w:rFonts w:eastAsia="宋体" w:cs="Times New Roman"/>
      <w:b/>
      <w:bCs/>
      <w:kern w:val="2"/>
      <w:sz w:val="28"/>
      <w:szCs w:val="28"/>
      <w:lang w:val="en-US" w:eastAsia="zh-CN" w:bidi="ar-SA"/>
    </w:rPr>
  </w:style>
  <w:style w:type="character" w:customStyle="1" w:styleId="168">
    <w:name w:val="Char Char79"/>
    <w:basedOn w:val="54"/>
    <w:qFormat/>
    <w:uiPriority w:val="0"/>
    <w:rPr>
      <w:rFonts w:ascii="Arial" w:hAnsi="Arial" w:eastAsia="黑体" w:cs="Times New Roman"/>
      <w:kern w:val="2"/>
      <w:sz w:val="24"/>
      <w:szCs w:val="24"/>
      <w:lang w:val="en-US" w:eastAsia="zh-CN" w:bidi="ar-SA"/>
    </w:rPr>
  </w:style>
  <w:style w:type="character" w:customStyle="1" w:styleId="169">
    <w:name w:val="Char Char38"/>
    <w:basedOn w:val="54"/>
    <w:qFormat/>
    <w:uiPriority w:val="0"/>
    <w:rPr>
      <w:rFonts w:eastAsia="宋体" w:cs="Times New Roman"/>
      <w:kern w:val="2"/>
      <w:sz w:val="24"/>
      <w:szCs w:val="24"/>
      <w:lang w:val="en-US" w:eastAsia="zh-CN" w:bidi="ar-SA"/>
    </w:rPr>
  </w:style>
  <w:style w:type="character" w:customStyle="1" w:styleId="170">
    <w:name w:val="标题 6 Char"/>
    <w:basedOn w:val="54"/>
    <w:link w:val="9"/>
    <w:qFormat/>
    <w:uiPriority w:val="0"/>
    <w:rPr>
      <w:rFonts w:hAnsi="Arial" w:eastAsia="仿宋_GB2312"/>
      <w:sz w:val="30"/>
      <w:lang w:val="en-US" w:eastAsia="zh-CN" w:bidi="ar-SA"/>
    </w:rPr>
  </w:style>
  <w:style w:type="character" w:customStyle="1" w:styleId="171">
    <w:name w:val="页眉 Char"/>
    <w:basedOn w:val="54"/>
    <w:link w:val="35"/>
    <w:qFormat/>
    <w:uiPriority w:val="0"/>
    <w:rPr>
      <w:rFonts w:eastAsia="宋体"/>
      <w:kern w:val="2"/>
      <w:sz w:val="18"/>
      <w:szCs w:val="18"/>
      <w:lang w:val="en-US" w:eastAsia="zh-CN" w:bidi="ar-SA"/>
    </w:rPr>
  </w:style>
  <w:style w:type="character" w:customStyle="1" w:styleId="172">
    <w:name w:val="Char Char15"/>
    <w:basedOn w:val="54"/>
    <w:qFormat/>
    <w:uiPriority w:val="0"/>
    <w:rPr>
      <w:kern w:val="2"/>
      <w:sz w:val="21"/>
      <w:szCs w:val="24"/>
    </w:rPr>
  </w:style>
  <w:style w:type="character" w:customStyle="1" w:styleId="173">
    <w:name w:val="Char Char9"/>
    <w:basedOn w:val="144"/>
    <w:qFormat/>
    <w:uiPriority w:val="0"/>
    <w:rPr>
      <w:b/>
      <w:bCs/>
    </w:rPr>
  </w:style>
  <w:style w:type="character" w:customStyle="1" w:styleId="174">
    <w:name w:val="l1"/>
    <w:basedOn w:val="54"/>
    <w:qFormat/>
    <w:uiPriority w:val="0"/>
  </w:style>
  <w:style w:type="character" w:customStyle="1" w:styleId="175">
    <w:name w:val="Char Char16"/>
    <w:basedOn w:val="54"/>
    <w:qFormat/>
    <w:uiPriority w:val="0"/>
    <w:rPr>
      <w:rFonts w:eastAsia="仿宋_GB2312"/>
      <w:sz w:val="30"/>
    </w:rPr>
  </w:style>
  <w:style w:type="character" w:customStyle="1" w:styleId="176">
    <w:name w:val="Char Char21"/>
    <w:basedOn w:val="54"/>
    <w:qFormat/>
    <w:uiPriority w:val="0"/>
    <w:rPr>
      <w:rFonts w:ascii="宋体" w:hAnsi="宋体" w:cs="宋体"/>
      <w:b/>
      <w:bCs/>
      <w:sz w:val="24"/>
      <w:szCs w:val="24"/>
    </w:rPr>
  </w:style>
  <w:style w:type="character" w:customStyle="1" w:styleId="177">
    <w:name w:val="Char Char37"/>
    <w:basedOn w:val="54"/>
    <w:qFormat/>
    <w:uiPriority w:val="0"/>
    <w:rPr>
      <w:rFonts w:cs="Times New Roman"/>
      <w:kern w:val="2"/>
      <w:sz w:val="24"/>
      <w:szCs w:val="24"/>
    </w:rPr>
  </w:style>
  <w:style w:type="character" w:customStyle="1" w:styleId="178">
    <w:name w:val="Char Char74"/>
    <w:basedOn w:val="54"/>
    <w:qFormat/>
    <w:uiPriority w:val="0"/>
    <w:rPr>
      <w:rFonts w:eastAsia="宋体" w:cs="Times New Roman"/>
      <w:kern w:val="2"/>
      <w:sz w:val="24"/>
      <w:szCs w:val="24"/>
      <w:lang w:val="en-US" w:eastAsia="zh-CN" w:bidi="ar-SA"/>
    </w:rPr>
  </w:style>
  <w:style w:type="character" w:customStyle="1" w:styleId="179">
    <w:name w:val="批注主题 Char Char"/>
    <w:basedOn w:val="87"/>
    <w:qFormat/>
    <w:uiPriority w:val="0"/>
    <w:rPr>
      <w:sz w:val="24"/>
    </w:rPr>
  </w:style>
  <w:style w:type="character" w:customStyle="1" w:styleId="180">
    <w:name w:val="Char Char85"/>
    <w:basedOn w:val="54"/>
    <w:qFormat/>
    <w:uiPriority w:val="0"/>
    <w:rPr>
      <w:rFonts w:ascii="Arial" w:hAnsi="Arial" w:eastAsia="黑体" w:cs="Times New Roman"/>
      <w:b/>
      <w:bCs/>
      <w:kern w:val="2"/>
      <w:sz w:val="32"/>
      <w:szCs w:val="32"/>
      <w:lang w:val="en-US" w:eastAsia="zh-CN" w:bidi="ar-SA"/>
    </w:rPr>
  </w:style>
  <w:style w:type="character" w:customStyle="1" w:styleId="181">
    <w:name w:val="Char Char39"/>
    <w:basedOn w:val="54"/>
    <w:qFormat/>
    <w:uiPriority w:val="0"/>
    <w:rPr>
      <w:rFonts w:eastAsia="宋体" w:cs="Times New Roman"/>
      <w:kern w:val="2"/>
      <w:sz w:val="18"/>
      <w:szCs w:val="18"/>
      <w:lang w:val="en-US" w:eastAsia="zh-CN" w:bidi="ar-SA"/>
    </w:rPr>
  </w:style>
  <w:style w:type="character" w:customStyle="1" w:styleId="182">
    <w:name w:val="标题4 Char Char"/>
    <w:link w:val="183"/>
    <w:qFormat/>
    <w:uiPriority w:val="0"/>
    <w:rPr>
      <w:rFonts w:ascii="Arial" w:hAnsi="Arial"/>
      <w:b/>
      <w:sz w:val="32"/>
      <w:lang w:bidi="ar-SA"/>
    </w:rPr>
  </w:style>
  <w:style w:type="paragraph" w:customStyle="1" w:styleId="183">
    <w:name w:val="标题4"/>
    <w:basedOn w:val="5"/>
    <w:next w:val="24"/>
    <w:link w:val="182"/>
    <w:qFormat/>
    <w:uiPriority w:val="0"/>
    <w:pPr>
      <w:spacing w:line="413" w:lineRule="auto"/>
    </w:pPr>
    <w:rPr>
      <w:rFonts w:ascii="Arial" w:hAnsi="Arial"/>
      <w:bCs w:val="0"/>
      <w:kern w:val="0"/>
      <w:szCs w:val="20"/>
    </w:rPr>
  </w:style>
  <w:style w:type="character" w:customStyle="1" w:styleId="184">
    <w:name w:val="Char Char51"/>
    <w:basedOn w:val="54"/>
    <w:qFormat/>
    <w:uiPriority w:val="0"/>
    <w:rPr>
      <w:rFonts w:eastAsia="宋体" w:cs="Times New Roman"/>
      <w:b/>
      <w:bCs/>
      <w:kern w:val="2"/>
      <w:sz w:val="24"/>
      <w:szCs w:val="24"/>
      <w:lang w:val="en-US" w:eastAsia="zh-CN" w:bidi="ar-SA"/>
    </w:rPr>
  </w:style>
  <w:style w:type="character" w:customStyle="1" w:styleId="185">
    <w:name w:val="title11"/>
    <w:basedOn w:val="54"/>
    <w:qFormat/>
    <w:uiPriority w:val="0"/>
    <w:rPr>
      <w:b/>
      <w:bCs/>
      <w:color w:val="FFFFFF"/>
      <w:sz w:val="11"/>
      <w:szCs w:val="11"/>
    </w:rPr>
  </w:style>
  <w:style w:type="character" w:customStyle="1" w:styleId="186">
    <w:name w:val="Char Char50"/>
    <w:basedOn w:val="54"/>
    <w:qFormat/>
    <w:uiPriority w:val="0"/>
    <w:rPr>
      <w:rFonts w:ascii="Arial" w:hAnsi="Arial" w:eastAsia="黑体" w:cs="Times New Roman"/>
      <w:kern w:val="2"/>
      <w:sz w:val="24"/>
      <w:szCs w:val="24"/>
      <w:lang w:val="en-US" w:eastAsia="zh-CN" w:bidi="ar-SA"/>
    </w:rPr>
  </w:style>
  <w:style w:type="character" w:customStyle="1" w:styleId="187">
    <w:name w:val="Char Char57"/>
    <w:basedOn w:val="54"/>
    <w:qFormat/>
    <w:uiPriority w:val="0"/>
    <w:rPr>
      <w:rFonts w:eastAsia="宋体" w:cs="Times New Roman"/>
      <w:b/>
      <w:bCs/>
      <w:kern w:val="44"/>
      <w:sz w:val="44"/>
      <w:szCs w:val="44"/>
      <w:lang w:val="en-US" w:eastAsia="zh-CN" w:bidi="ar-SA"/>
    </w:rPr>
  </w:style>
  <w:style w:type="character" w:customStyle="1" w:styleId="188">
    <w:name w:val="Char Char62"/>
    <w:basedOn w:val="54"/>
    <w:qFormat/>
    <w:uiPriority w:val="0"/>
    <w:rPr>
      <w:rFonts w:ascii="宋体" w:hAnsi="Courier New" w:eastAsia="宋体" w:cs="Times New Roman"/>
      <w:kern w:val="2"/>
      <w:sz w:val="21"/>
      <w:szCs w:val="21"/>
      <w:lang w:val="en-US" w:eastAsia="zh-CN" w:bidi="ar-SA"/>
    </w:rPr>
  </w:style>
  <w:style w:type="character" w:customStyle="1" w:styleId="189">
    <w:name w:val="样式1 Char Char"/>
    <w:basedOn w:val="93"/>
    <w:link w:val="190"/>
    <w:qFormat/>
    <w:uiPriority w:val="0"/>
    <w:rPr>
      <w:rFonts w:ascii="宋体" w:hAnsi="宋体"/>
      <w:kern w:val="2"/>
      <w:sz w:val="21"/>
      <w:szCs w:val="21"/>
    </w:rPr>
  </w:style>
  <w:style w:type="paragraph" w:customStyle="1" w:styleId="190">
    <w:name w:val="样式1"/>
    <w:basedOn w:val="1"/>
    <w:next w:val="7"/>
    <w:link w:val="189"/>
    <w:qFormat/>
    <w:uiPriority w:val="0"/>
    <w:pPr>
      <w:spacing w:line="360" w:lineRule="auto"/>
      <w:ind w:firstLine="420" w:firstLineChars="200"/>
    </w:pPr>
    <w:rPr>
      <w:rFonts w:ascii="宋体" w:hAnsi="宋体"/>
      <w:szCs w:val="21"/>
    </w:rPr>
  </w:style>
  <w:style w:type="character" w:customStyle="1" w:styleId="191">
    <w:name w:val="Char Char84"/>
    <w:basedOn w:val="54"/>
    <w:qFormat/>
    <w:uiPriority w:val="0"/>
    <w:rPr>
      <w:rFonts w:eastAsia="宋体" w:cs="Times New Roman"/>
      <w:b/>
      <w:bCs/>
      <w:kern w:val="2"/>
      <w:sz w:val="32"/>
      <w:szCs w:val="32"/>
      <w:lang w:val="en-US" w:eastAsia="zh-CN" w:bidi="ar-SA"/>
    </w:rPr>
  </w:style>
  <w:style w:type="character" w:customStyle="1" w:styleId="192">
    <w:name w:val="apple-converted-space"/>
    <w:basedOn w:val="54"/>
    <w:qFormat/>
    <w:uiPriority w:val="0"/>
  </w:style>
  <w:style w:type="character" w:customStyle="1" w:styleId="193">
    <w:name w:val="14t1"/>
    <w:basedOn w:val="54"/>
    <w:qFormat/>
    <w:uiPriority w:val="0"/>
    <w:rPr>
      <w:rFonts w:hint="eastAsia" w:ascii="宋体" w:hAnsi="宋体" w:eastAsia="宋体"/>
      <w:sz w:val="11"/>
      <w:szCs w:val="11"/>
    </w:rPr>
  </w:style>
  <w:style w:type="character" w:customStyle="1" w:styleId="194">
    <w:name w:val="标题 5 Char"/>
    <w:basedOn w:val="54"/>
    <w:link w:val="8"/>
    <w:qFormat/>
    <w:uiPriority w:val="0"/>
    <w:rPr>
      <w:rFonts w:ascii="宋体" w:hAnsi="宋体" w:eastAsia="宋体" w:cs="宋体"/>
      <w:b/>
      <w:bCs/>
      <w:lang w:val="en-US" w:eastAsia="zh-CN" w:bidi="ar-SA"/>
    </w:rPr>
  </w:style>
  <w:style w:type="character" w:customStyle="1" w:styleId="195">
    <w:name w:val="Char Char19"/>
    <w:basedOn w:val="54"/>
    <w:qFormat/>
    <w:uiPriority w:val="0"/>
    <w:rPr>
      <w:rFonts w:hAnsi="Arial" w:eastAsia="仿宋_GB2312"/>
      <w:sz w:val="30"/>
    </w:rPr>
  </w:style>
  <w:style w:type="character" w:customStyle="1" w:styleId="196">
    <w:name w:val="Char Char73"/>
    <w:basedOn w:val="54"/>
    <w:qFormat/>
    <w:uiPriority w:val="0"/>
    <w:rPr>
      <w:rFonts w:eastAsia="宋体" w:cs="Times New Roman"/>
      <w:sz w:val="24"/>
      <w:szCs w:val="24"/>
      <w:u w:val="single"/>
      <w:lang w:val="en-US" w:eastAsia="en-US" w:bidi="ar-SA"/>
    </w:rPr>
  </w:style>
  <w:style w:type="character" w:customStyle="1" w:styleId="197">
    <w:name w:val="正文文字4 Char Char"/>
    <w:basedOn w:val="54"/>
    <w:qFormat/>
    <w:uiPriority w:val="0"/>
    <w:rPr>
      <w:kern w:val="2"/>
      <w:sz w:val="21"/>
      <w:szCs w:val="24"/>
    </w:rPr>
  </w:style>
  <w:style w:type="character" w:customStyle="1" w:styleId="198">
    <w:name w:val="intel3"/>
    <w:basedOn w:val="54"/>
    <w:qFormat/>
    <w:uiPriority w:val="0"/>
  </w:style>
  <w:style w:type="character" w:customStyle="1" w:styleId="199">
    <w:name w:val="Quote Char1"/>
    <w:basedOn w:val="54"/>
    <w:link w:val="200"/>
    <w:qFormat/>
    <w:uiPriority w:val="0"/>
    <w:rPr>
      <w:rFonts w:ascii="Calibri" w:hAnsi="Calibri" w:eastAsia="宋体"/>
      <w:i/>
      <w:iCs/>
      <w:color w:val="000000"/>
      <w:kern w:val="2"/>
      <w:sz w:val="22"/>
      <w:szCs w:val="22"/>
      <w:lang w:val="en-US" w:eastAsia="zh-CN" w:bidi="ar-SA"/>
    </w:rPr>
  </w:style>
  <w:style w:type="paragraph" w:customStyle="1" w:styleId="200">
    <w:name w:val="引用1"/>
    <w:basedOn w:val="1"/>
    <w:next w:val="1"/>
    <w:link w:val="199"/>
    <w:qFormat/>
    <w:uiPriority w:val="0"/>
    <w:rPr>
      <w:rFonts w:ascii="Calibri" w:hAnsi="Calibri"/>
      <w:i/>
      <w:iCs/>
      <w:color w:val="000000"/>
      <w:sz w:val="22"/>
      <w:szCs w:val="22"/>
    </w:rPr>
  </w:style>
  <w:style w:type="character" w:customStyle="1" w:styleId="201">
    <w:name w:val="Char Char43"/>
    <w:basedOn w:val="54"/>
    <w:qFormat/>
    <w:uiPriority w:val="0"/>
    <w:rPr>
      <w:rFonts w:eastAsia="宋体" w:cs="Times New Roman"/>
      <w:kern w:val="2"/>
      <w:sz w:val="24"/>
      <w:szCs w:val="24"/>
      <w:lang w:val="en-US" w:eastAsia="zh-CN" w:bidi="ar-SA"/>
    </w:rPr>
  </w:style>
  <w:style w:type="character" w:customStyle="1" w:styleId="202">
    <w:name w:val="尾注文本 Char"/>
    <w:basedOn w:val="54"/>
    <w:link w:val="32"/>
    <w:qFormat/>
    <w:uiPriority w:val="0"/>
    <w:rPr>
      <w:rFonts w:ascii="Arial" w:hAnsi="Arial" w:eastAsia="宋体" w:cs="Arial"/>
      <w:szCs w:val="24"/>
      <w:lang w:val="en-US" w:eastAsia="en-US" w:bidi="ar-SA"/>
    </w:rPr>
  </w:style>
  <w:style w:type="character" w:customStyle="1" w:styleId="203">
    <w:name w:val="Char Char22"/>
    <w:basedOn w:val="54"/>
    <w:qFormat/>
    <w:uiPriority w:val="0"/>
    <w:rPr>
      <w:b/>
      <w:bCs/>
      <w:kern w:val="2"/>
      <w:sz w:val="32"/>
      <w:szCs w:val="32"/>
    </w:rPr>
  </w:style>
  <w:style w:type="character" w:customStyle="1" w:styleId="204">
    <w:name w:val="Char Char44"/>
    <w:basedOn w:val="54"/>
    <w:qFormat/>
    <w:uiPriority w:val="0"/>
    <w:rPr>
      <w:rFonts w:eastAsia="宋体" w:cs="Times New Roman"/>
      <w:sz w:val="24"/>
      <w:szCs w:val="24"/>
      <w:u w:val="single"/>
      <w:lang w:val="en-US" w:eastAsia="en-US" w:bidi="ar-SA"/>
    </w:rPr>
  </w:style>
  <w:style w:type="character" w:customStyle="1" w:styleId="205">
    <w:name w:val="Char Char72"/>
    <w:basedOn w:val="54"/>
    <w:qFormat/>
    <w:uiPriority w:val="0"/>
    <w:rPr>
      <w:rFonts w:eastAsia="宋体" w:cs="Times New Roman"/>
      <w:kern w:val="2"/>
      <w:sz w:val="24"/>
      <w:szCs w:val="24"/>
      <w:lang w:val="en-US" w:eastAsia="zh-CN" w:bidi="ar-SA"/>
    </w:rPr>
  </w:style>
  <w:style w:type="character" w:customStyle="1" w:styleId="206">
    <w:name w:val="Char Char41"/>
    <w:basedOn w:val="54"/>
    <w:qFormat/>
    <w:uiPriority w:val="0"/>
    <w:rPr>
      <w:rFonts w:eastAsia="宋体" w:cs="Times New Roman"/>
      <w:kern w:val="2"/>
      <w:sz w:val="18"/>
      <w:szCs w:val="18"/>
      <w:lang w:val="en-US" w:eastAsia="zh-CN" w:bidi="ar-SA"/>
    </w:rPr>
  </w:style>
  <w:style w:type="character" w:customStyle="1" w:styleId="207">
    <w:name w:val="Intense Quote Char1"/>
    <w:basedOn w:val="54"/>
    <w:link w:val="208"/>
    <w:qFormat/>
    <w:uiPriority w:val="0"/>
    <w:rPr>
      <w:rFonts w:ascii="Calibri" w:hAnsi="Calibri" w:eastAsia="宋体"/>
      <w:b/>
      <w:bCs/>
      <w:i/>
      <w:iCs/>
      <w:color w:val="4F81BD"/>
      <w:kern w:val="2"/>
      <w:sz w:val="22"/>
      <w:szCs w:val="22"/>
      <w:lang w:val="en-US" w:eastAsia="zh-CN" w:bidi="ar-SA"/>
    </w:rPr>
  </w:style>
  <w:style w:type="paragraph" w:customStyle="1" w:styleId="208">
    <w:name w:val="明显引用1"/>
    <w:basedOn w:val="1"/>
    <w:next w:val="1"/>
    <w:link w:val="207"/>
    <w:qFormat/>
    <w:uiPriority w:val="0"/>
    <w:pPr>
      <w:pBdr>
        <w:bottom w:val="single" w:color="4F81BD" w:sz="4" w:space="4"/>
      </w:pBdr>
      <w:spacing w:before="200" w:after="280"/>
      <w:ind w:left="936" w:right="936"/>
    </w:pPr>
    <w:rPr>
      <w:rFonts w:ascii="Calibri" w:hAnsi="Calibri"/>
      <w:b/>
      <w:bCs/>
      <w:i/>
      <w:iCs/>
      <w:color w:val="4F81BD"/>
      <w:sz w:val="22"/>
      <w:szCs w:val="22"/>
    </w:rPr>
  </w:style>
  <w:style w:type="character" w:customStyle="1" w:styleId="209">
    <w:name w:val="Char Char75"/>
    <w:basedOn w:val="54"/>
    <w:qFormat/>
    <w:uiPriority w:val="0"/>
    <w:rPr>
      <w:rFonts w:eastAsia="宋体" w:cs="Times New Roman"/>
      <w:sz w:val="24"/>
      <w:lang w:val="en-US" w:eastAsia="zh-CN" w:bidi="ar-SA"/>
    </w:rPr>
  </w:style>
  <w:style w:type="character" w:customStyle="1" w:styleId="210">
    <w:name w:val="正文文本缩进 2 Char"/>
    <w:basedOn w:val="54"/>
    <w:link w:val="31"/>
    <w:qFormat/>
    <w:uiPriority w:val="0"/>
    <w:rPr>
      <w:rFonts w:eastAsia="宋体"/>
      <w:sz w:val="28"/>
      <w:szCs w:val="24"/>
      <w:lang w:val="en-US" w:eastAsia="zh-CN" w:bidi="ar-SA"/>
    </w:rPr>
  </w:style>
  <w:style w:type="character" w:customStyle="1" w:styleId="211">
    <w:name w:val="Char Char86"/>
    <w:basedOn w:val="54"/>
    <w:qFormat/>
    <w:uiPriority w:val="0"/>
    <w:rPr>
      <w:rFonts w:eastAsia="宋体" w:cs="Times New Roman"/>
      <w:b/>
      <w:bCs/>
      <w:kern w:val="44"/>
      <w:sz w:val="44"/>
      <w:szCs w:val="44"/>
      <w:lang w:val="en-US" w:eastAsia="zh-CN" w:bidi="ar-SA"/>
    </w:rPr>
  </w:style>
  <w:style w:type="character" w:customStyle="1" w:styleId="212">
    <w:name w:val="日期 Char"/>
    <w:basedOn w:val="54"/>
    <w:link w:val="30"/>
    <w:qFormat/>
    <w:uiPriority w:val="0"/>
    <w:rPr>
      <w:rFonts w:eastAsia="宋体"/>
      <w:kern w:val="2"/>
      <w:sz w:val="21"/>
      <w:szCs w:val="24"/>
      <w:lang w:val="en-US" w:eastAsia="zh-CN" w:bidi="ar-SA"/>
    </w:rPr>
  </w:style>
  <w:style w:type="character" w:customStyle="1" w:styleId="213">
    <w:name w:val="Endnote Text Char1"/>
    <w:basedOn w:val="54"/>
    <w:qFormat/>
    <w:uiPriority w:val="0"/>
    <w:rPr>
      <w:rFonts w:cs="Times New Roman"/>
      <w:kern w:val="2"/>
      <w:sz w:val="24"/>
      <w:szCs w:val="24"/>
    </w:rPr>
  </w:style>
  <w:style w:type="character" w:customStyle="1" w:styleId="214">
    <w:name w:val="ca-141"/>
    <w:basedOn w:val="54"/>
    <w:qFormat/>
    <w:uiPriority w:val="0"/>
    <w:rPr>
      <w:rFonts w:hint="eastAsia" w:ascii="仿宋_GB2312" w:eastAsia="仿宋_GB2312"/>
      <w:sz w:val="21"/>
      <w:szCs w:val="21"/>
    </w:rPr>
  </w:style>
  <w:style w:type="character" w:customStyle="1" w:styleId="215">
    <w:name w:val="Char Char65"/>
    <w:basedOn w:val="163"/>
    <w:qFormat/>
    <w:uiPriority w:val="0"/>
    <w:rPr>
      <w:b/>
      <w:bCs/>
      <w:kern w:val="2"/>
      <w:szCs w:val="24"/>
    </w:rPr>
  </w:style>
  <w:style w:type="paragraph" w:customStyle="1" w:styleId="216">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17">
    <w:name w:val="WW-表格标题"/>
    <w:basedOn w:val="218"/>
    <w:qFormat/>
    <w:uiPriority w:val="0"/>
  </w:style>
  <w:style w:type="paragraph" w:customStyle="1" w:styleId="218">
    <w:name w:val="WW-表格内容"/>
    <w:basedOn w:val="1"/>
    <w:qFormat/>
    <w:uiPriority w:val="0"/>
    <w:pPr>
      <w:suppressLineNumbers/>
      <w:suppressAutoHyphens/>
    </w:pPr>
  </w:style>
  <w:style w:type="paragraph" w:customStyle="1" w:styleId="219">
    <w:name w:val="样式3"/>
    <w:basedOn w:val="6"/>
    <w:qFormat/>
    <w:uiPriority w:val="0"/>
    <w:pPr>
      <w:autoSpaceDE w:val="0"/>
      <w:autoSpaceDN w:val="0"/>
      <w:spacing w:line="360" w:lineRule="auto"/>
      <w:ind w:left="119" w:right="-23"/>
      <w:jc w:val="left"/>
    </w:pPr>
    <w:rPr>
      <w:rFonts w:ascii="宋体" w:hAnsi="宋体" w:eastAsia="仿宋_GB2312"/>
      <w:kern w:val="0"/>
      <w:sz w:val="24"/>
    </w:rPr>
  </w:style>
  <w:style w:type="paragraph" w:customStyle="1" w:styleId="220">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2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styleId="222">
    <w:name w:val="List Paragraph"/>
    <w:basedOn w:val="1"/>
    <w:qFormat/>
    <w:uiPriority w:val="0"/>
    <w:pPr>
      <w:ind w:firstLine="420" w:firstLineChars="200"/>
    </w:pPr>
    <w:rPr>
      <w:sz w:val="28"/>
      <w:szCs w:val="28"/>
    </w:rPr>
  </w:style>
  <w:style w:type="paragraph" w:customStyle="1" w:styleId="223">
    <w:name w:val="Char"/>
    <w:basedOn w:val="1"/>
    <w:qFormat/>
    <w:uiPriority w:val="0"/>
  </w:style>
  <w:style w:type="paragraph" w:customStyle="1" w:styleId="224">
    <w:name w:val="正文 New New New"/>
    <w:qFormat/>
    <w:uiPriority w:val="0"/>
    <w:pPr>
      <w:widowControl w:val="0"/>
      <w:jc w:val="both"/>
    </w:pPr>
    <w:rPr>
      <w:rFonts w:ascii="Times New Roman" w:hAnsi="Times New Roman" w:eastAsia="方正仿宋_GBK" w:cs="Times New Roman"/>
      <w:kern w:val="2"/>
      <w:sz w:val="21"/>
      <w:lang w:val="en-US" w:eastAsia="zh-CN" w:bidi="ar-SA"/>
    </w:rPr>
  </w:style>
  <w:style w:type="paragraph" w:customStyle="1" w:styleId="22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26">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27">
    <w:name w:val="pa-27"/>
    <w:basedOn w:val="1"/>
    <w:qFormat/>
    <w:uiPriority w:val="0"/>
    <w:pPr>
      <w:widowControl/>
      <w:spacing w:line="360" w:lineRule="atLeast"/>
      <w:ind w:firstLine="420"/>
    </w:pPr>
    <w:rPr>
      <w:rFonts w:ascii="宋体" w:hAnsi="宋体" w:cs="宋体"/>
      <w:kern w:val="0"/>
      <w:sz w:val="24"/>
    </w:rPr>
  </w:style>
  <w:style w:type="paragraph" w:customStyle="1" w:styleId="228">
    <w:name w:val="样式 标题 1 + (西文) 宋体 非加粗 黑色 两端对齐 左侧:  0 厘米 首行缩进:  0.89 厘米"/>
    <w:basedOn w:val="4"/>
    <w:qFormat/>
    <w:uiPriority w:val="0"/>
    <w:pPr>
      <w:keepLines w:val="0"/>
      <w:tabs>
        <w:tab w:val="left" w:pos="1140"/>
      </w:tabs>
      <w:adjustRightInd w:val="0"/>
      <w:snapToGrid w:val="0"/>
      <w:spacing w:before="0" w:after="0" w:line="360" w:lineRule="auto"/>
      <w:ind w:left="1140" w:hanging="720"/>
      <w:jc w:val="center"/>
      <w:textAlignment w:val="baseline"/>
    </w:pPr>
    <w:rPr>
      <w:rFonts w:ascii="宋体" w:hAnsi="宋体" w:eastAsia="黑体"/>
      <w:bCs w:val="0"/>
      <w:color w:val="000000"/>
      <w:kern w:val="0"/>
      <w:sz w:val="30"/>
      <w:szCs w:val="30"/>
    </w:rPr>
  </w:style>
  <w:style w:type="paragraph" w:customStyle="1" w:styleId="229">
    <w:name w:val="表格内容"/>
    <w:basedOn w:val="1"/>
    <w:qFormat/>
    <w:uiPriority w:val="0"/>
    <w:pPr>
      <w:suppressLineNumbers/>
      <w:suppressAutoHyphens/>
    </w:pPr>
  </w:style>
  <w:style w:type="paragraph" w:customStyle="1" w:styleId="23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31">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32">
    <w:name w:val="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pa-34"/>
    <w:basedOn w:val="1"/>
    <w:qFormat/>
    <w:uiPriority w:val="0"/>
    <w:pPr>
      <w:widowControl/>
      <w:spacing w:line="360" w:lineRule="atLeast"/>
      <w:ind w:firstLine="420"/>
      <w:jc w:val="left"/>
    </w:pPr>
    <w:rPr>
      <w:rFonts w:ascii="宋体" w:hAnsi="宋体" w:cs="宋体"/>
      <w:kern w:val="0"/>
      <w:sz w:val="24"/>
    </w:rPr>
  </w:style>
  <w:style w:type="paragraph" w:customStyle="1" w:styleId="234">
    <w:name w:val="Char Char Char Char Char Char Char Char Char Char Char Char Char Char Char Char Char Char Char Char Char Char"/>
    <w:basedOn w:val="1"/>
    <w:qFormat/>
    <w:uiPriority w:val="0"/>
    <w:pPr>
      <w:widowControl/>
      <w:spacing w:line="400" w:lineRule="exact"/>
      <w:jc w:val="center"/>
    </w:pPr>
  </w:style>
  <w:style w:type="paragraph" w:customStyle="1" w:styleId="235">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36">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38">
    <w:name w:val="正  文"/>
    <w:basedOn w:val="1"/>
    <w:qFormat/>
    <w:uiPriority w:val="0"/>
    <w:pPr>
      <w:spacing w:line="360" w:lineRule="auto"/>
      <w:ind w:firstLine="200" w:firstLineChars="200"/>
    </w:pPr>
    <w:rPr>
      <w:rFonts w:ascii="宋体"/>
      <w:sz w:val="24"/>
    </w:rPr>
  </w:style>
  <w:style w:type="paragraph" w:customStyle="1" w:styleId="239">
    <w:name w:val="样式 标题 3 + (中文) 黑体 小四 非加粗 段前: 7.8 磅 段后: 0 磅 行距: 固定值 20 磅"/>
    <w:basedOn w:val="6"/>
    <w:next w:val="1"/>
    <w:qFormat/>
    <w:uiPriority w:val="0"/>
    <w:pPr>
      <w:spacing w:line="400" w:lineRule="exact"/>
    </w:pPr>
    <w:rPr>
      <w:rFonts w:eastAsia="黑体" w:cs="宋体"/>
      <w:b w:val="0"/>
      <w:bCs w:val="0"/>
      <w:sz w:val="24"/>
      <w:szCs w:val="20"/>
    </w:rPr>
  </w:style>
  <w:style w:type="paragraph" w:customStyle="1" w:styleId="240">
    <w:name w:val="表格"/>
    <w:basedOn w:val="1"/>
    <w:qFormat/>
    <w:uiPriority w:val="0"/>
    <w:pPr>
      <w:jc w:val="center"/>
      <w:textAlignment w:val="center"/>
    </w:pPr>
    <w:rPr>
      <w:rFonts w:ascii="华文细黑" w:hAnsi="华文细黑"/>
      <w:kern w:val="0"/>
    </w:rPr>
  </w:style>
  <w:style w:type="paragraph" w:customStyle="1" w:styleId="241">
    <w:name w:val="Char9"/>
    <w:basedOn w:val="17"/>
    <w:qFormat/>
    <w:uiPriority w:val="0"/>
    <w:pPr>
      <w:spacing w:line="360" w:lineRule="auto"/>
      <w:ind w:firstLine="200" w:firstLineChars="200"/>
    </w:pPr>
    <w:rPr>
      <w:rFonts w:ascii="Tahoma" w:hAnsi="Tahoma"/>
      <w:sz w:val="24"/>
    </w:rPr>
  </w:style>
  <w:style w:type="paragraph" w:customStyle="1" w:styleId="242">
    <w:name w:val="自定样式1"/>
    <w:basedOn w:val="1"/>
    <w:qFormat/>
    <w:uiPriority w:val="0"/>
    <w:pPr>
      <w:suppressAutoHyphens/>
      <w:jc w:val="center"/>
    </w:pPr>
    <w:rPr>
      <w:rFonts w:ascii="宋体" w:hAnsi="宋体"/>
      <w:color w:val="000000"/>
      <w:sz w:val="18"/>
    </w:rPr>
  </w:style>
  <w:style w:type="paragraph" w:customStyle="1" w:styleId="24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46">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48">
    <w:name w:val="表格文字"/>
    <w:basedOn w:val="1"/>
    <w:qFormat/>
    <w:uiPriority w:val="0"/>
    <w:pPr>
      <w:adjustRightInd w:val="0"/>
      <w:spacing w:line="420" w:lineRule="atLeast"/>
      <w:jc w:val="left"/>
      <w:textAlignment w:val="baseline"/>
    </w:pPr>
    <w:rPr>
      <w:kern w:val="0"/>
    </w:rPr>
  </w:style>
  <w:style w:type="paragraph" w:customStyle="1" w:styleId="24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25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1">
    <w:name w:val="目录"/>
    <w:basedOn w:val="1"/>
    <w:qFormat/>
    <w:uiPriority w:val="0"/>
    <w:pPr>
      <w:widowControl/>
      <w:jc w:val="center"/>
    </w:pPr>
    <w:rPr>
      <w:rFonts w:ascii="宋体"/>
      <w:b/>
      <w:kern w:val="0"/>
      <w:sz w:val="36"/>
    </w:rPr>
  </w:style>
  <w:style w:type="paragraph" w:customStyle="1" w:styleId="252">
    <w:name w:val="Char1"/>
    <w:basedOn w:val="1"/>
    <w:qFormat/>
    <w:uiPriority w:val="0"/>
    <w:pPr>
      <w:spacing w:beforeLines="50" w:afterLines="50"/>
      <w:ind w:firstLine="200" w:firstLineChars="200"/>
    </w:pPr>
    <w:rPr>
      <w:rFonts w:ascii="宋体" w:hAnsi="宋体" w:cs="Courier New"/>
      <w:spacing w:val="-2"/>
      <w:sz w:val="22"/>
      <w:szCs w:val="32"/>
    </w:rPr>
  </w:style>
  <w:style w:type="paragraph" w:customStyle="1" w:styleId="253">
    <w:name w:val="表格标题"/>
    <w:basedOn w:val="229"/>
    <w:qFormat/>
    <w:uiPriority w:val="0"/>
  </w:style>
  <w:style w:type="paragraph" w:customStyle="1" w:styleId="254">
    <w:name w:val="Char Char1 Char Char Char Char Char Char Char"/>
    <w:basedOn w:val="1"/>
    <w:qFormat/>
    <w:uiPriority w:val="0"/>
    <w:pPr>
      <w:pageBreakBefore/>
    </w:pPr>
    <w:rPr>
      <w:rFonts w:ascii="Calibri" w:hAnsi="Calibri" w:cs="Calibri"/>
    </w:rPr>
  </w:style>
  <w:style w:type="paragraph" w:customStyle="1" w:styleId="255">
    <w:name w:val="Char2 Char Char Char Char Char Char Char Char Char Char Char Char1"/>
    <w:basedOn w:val="1"/>
    <w:qFormat/>
    <w:uiPriority w:val="0"/>
    <w:pPr>
      <w:spacing w:line="360" w:lineRule="auto"/>
      <w:ind w:firstLine="200" w:firstLineChars="200"/>
    </w:pPr>
    <w:rPr>
      <w:rFonts w:ascii="Tahoma" w:hAnsi="Tahoma"/>
      <w:sz w:val="24"/>
    </w:rPr>
  </w:style>
  <w:style w:type="paragraph" w:customStyle="1" w:styleId="25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Char Char Char Char Char Char Char"/>
    <w:basedOn w:val="1"/>
    <w:qFormat/>
    <w:uiPriority w:val="0"/>
    <w:rPr>
      <w:snapToGrid w:val="0"/>
      <w:color w:val="000000"/>
      <w:spacing w:val="16"/>
      <w:sz w:val="22"/>
      <w:szCs w:val="22"/>
    </w:rPr>
  </w:style>
  <w:style w:type="paragraph" w:customStyle="1" w:styleId="258">
    <w:name w:val="样式2"/>
    <w:basedOn w:val="5"/>
    <w:qFormat/>
    <w:uiPriority w:val="0"/>
    <w:pPr>
      <w:autoSpaceDE w:val="0"/>
      <w:autoSpaceDN w:val="0"/>
      <w:spacing w:line="300" w:lineRule="exact"/>
      <w:ind w:left="220" w:right="-20"/>
      <w:jc w:val="center"/>
    </w:pPr>
    <w:rPr>
      <w:rFonts w:ascii="宋体" w:hAnsi="宋体" w:eastAsia="仿宋_GB2312"/>
      <w:w w:val="99"/>
      <w:kern w:val="0"/>
      <w:sz w:val="28"/>
      <w:szCs w:val="28"/>
    </w:rPr>
  </w:style>
  <w:style w:type="paragraph" w:customStyle="1" w:styleId="25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60">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61">
    <w:name w:val="No Spacing"/>
    <w:basedOn w:val="1"/>
    <w:qFormat/>
    <w:uiPriority w:val="1"/>
    <w:pPr>
      <w:spacing w:after="0" w:line="400" w:lineRule="exact"/>
    </w:pPr>
    <w:rPr>
      <w:rFonts w:eastAsia="宋体"/>
      <w:sz w:val="24"/>
    </w:rPr>
  </w:style>
  <w:style w:type="paragraph" w:customStyle="1" w:styleId="262">
    <w:name w:val="列出段落11"/>
    <w:basedOn w:val="1"/>
    <w:qFormat/>
    <w:uiPriority w:val="0"/>
    <w:pPr>
      <w:ind w:firstLine="420" w:firstLineChars="200"/>
    </w:pPr>
    <w:rPr>
      <w:sz w:val="28"/>
      <w:szCs w:val="28"/>
    </w:rPr>
  </w:style>
  <w:style w:type="paragraph" w:customStyle="1" w:styleId="263">
    <w:name w:val="无间隔1"/>
    <w:qFormat/>
    <w:uiPriority w:val="0"/>
    <w:pPr>
      <w:widowControl w:val="0"/>
      <w:jc w:val="both"/>
    </w:pPr>
    <w:rPr>
      <w:rFonts w:ascii="Calibri" w:hAnsi="Calibri" w:eastAsia="宋体" w:cs="Times New Roman"/>
      <w:kern w:val="2"/>
      <w:sz w:val="21"/>
      <w:szCs w:val="22"/>
      <w:lang w:val="en-US" w:eastAsia="zh-CN" w:bidi="ar-SA"/>
    </w:rPr>
  </w:style>
  <w:style w:type="table" w:customStyle="1" w:styleId="26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163</Pages>
  <Words>7226</Words>
  <Characters>8003</Characters>
  <Lines>324</Lines>
  <Paragraphs>91</Paragraphs>
  <TotalTime>8</TotalTime>
  <ScaleCrop>false</ScaleCrop>
  <LinksUpToDate>false</LinksUpToDate>
  <CharactersWithSpaces>8266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2019-07-23T04:00:00Z</dcterms:created>
  <dc:creator>中金招标</dc:creator>
  <cp:lastModifiedBy>曹定龙</cp:lastModifiedBy>
  <cp:lastPrinted>2025-08-12T08:14:00Z</cp:lastPrinted>
  <dcterms:modified xsi:type="dcterms:W3CDTF">2025-08-13T06:24:11Z</dcterms:modified>
  <dc:title>铜梁县东城中学迁建工程2、3号（教学楼）</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A31F27D0DF91497F95FAA5A739B0D4BC_13</vt:lpwstr>
  </property>
  <property fmtid="{D5CDD505-2E9C-101B-9397-08002B2CF9AE}" pid="4" name="KSOTemplateDocerSaveRecord">
    <vt:lpwstr>eyJoZGlkIjoiODAwZWI5Mzg3ZGZkMzIzMmI1NmE5ZGIwNzFmMDg0ZWUifQ==</vt:lpwstr>
  </property>
</Properties>
</file>